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647" w:rsidRDefault="002C6647" w:rsidP="002C6647">
      <w:pPr>
        <w:pStyle w:val="NormaleWeb"/>
        <w:jc w:val="both"/>
        <w:rPr>
          <w:rFonts w:ascii="Arial" w:hAnsi="Arial" w:cs="Arial"/>
        </w:rPr>
      </w:pPr>
    </w:p>
    <w:p w:rsidR="002C6647" w:rsidRPr="00AE637A" w:rsidRDefault="002C6647" w:rsidP="002C6647">
      <w:pPr>
        <w:pStyle w:val="Titolo"/>
        <w:ind w:left="142"/>
        <w:rPr>
          <w:rFonts w:eastAsia="Century Gothic" w:cs="Century Gothic"/>
          <w:i w:val="0"/>
          <w:color w:val="44546A" w:themeColor="text2"/>
          <w:sz w:val="24"/>
          <w:lang w:eastAsia="en-US"/>
        </w:rPr>
      </w:pPr>
      <w:r w:rsidRPr="00AE637A">
        <w:rPr>
          <w:rFonts w:eastAsia="Century Gothic" w:cs="Century Gothic"/>
          <w:i w:val="0"/>
          <w:color w:val="44546A" w:themeColor="text2"/>
          <w:sz w:val="24"/>
          <w:lang w:eastAsia="en-US"/>
        </w:rPr>
        <w:t>COMUNE DI GERENZAGO</w:t>
      </w:r>
    </w:p>
    <w:p w:rsidR="002C6647" w:rsidRPr="00AE637A" w:rsidRDefault="002C6647" w:rsidP="002C6647">
      <w:pPr>
        <w:ind w:left="142"/>
        <w:jc w:val="center"/>
        <w:rPr>
          <w:b/>
          <w:color w:val="44546A" w:themeColor="text2"/>
          <w:sz w:val="24"/>
          <w:szCs w:val="20"/>
        </w:rPr>
      </w:pPr>
      <w:r w:rsidRPr="00AE637A">
        <w:rPr>
          <w:b/>
          <w:color w:val="44546A" w:themeColor="text2"/>
          <w:sz w:val="24"/>
          <w:szCs w:val="20"/>
        </w:rPr>
        <w:t>PROVINCIA DI PAVIA</w:t>
      </w:r>
    </w:p>
    <w:p w:rsidR="002C6647" w:rsidRPr="00AE637A" w:rsidRDefault="002C6647" w:rsidP="002C6647">
      <w:pPr>
        <w:pStyle w:val="Titolo8"/>
        <w:ind w:left="142"/>
        <w:jc w:val="center"/>
        <w:rPr>
          <w:rFonts w:ascii="Century Gothic" w:eastAsia="Century Gothic" w:hAnsi="Century Gothic" w:cs="Century Gothic"/>
          <w:b/>
          <w:color w:val="44546A" w:themeColor="text2"/>
          <w:sz w:val="24"/>
          <w:szCs w:val="20"/>
          <w:lang w:val="it-IT"/>
        </w:rPr>
      </w:pPr>
      <w:r w:rsidRPr="00AE637A">
        <w:rPr>
          <w:rFonts w:ascii="Century Gothic" w:eastAsia="Century Gothic" w:hAnsi="Century Gothic" w:cs="Century Gothic"/>
          <w:b/>
          <w:color w:val="44546A" w:themeColor="text2"/>
          <w:sz w:val="24"/>
          <w:szCs w:val="20"/>
          <w:lang w:val="it-IT"/>
        </w:rPr>
        <w:t>Via XXV aprile, 17 - CAP. 27010</w:t>
      </w:r>
    </w:p>
    <w:p w:rsidR="002C6647" w:rsidRPr="00AE637A" w:rsidRDefault="002C6647" w:rsidP="002C6647">
      <w:pPr>
        <w:ind w:left="142"/>
        <w:jc w:val="center"/>
        <w:rPr>
          <w:sz w:val="24"/>
          <w:szCs w:val="20"/>
        </w:rPr>
      </w:pPr>
    </w:p>
    <w:p w:rsidR="002C6647" w:rsidRPr="00AE637A" w:rsidRDefault="002C6647" w:rsidP="002C6647">
      <w:pPr>
        <w:ind w:left="142"/>
        <w:jc w:val="center"/>
        <w:rPr>
          <w:sz w:val="24"/>
          <w:szCs w:val="20"/>
        </w:rPr>
      </w:pPr>
      <w:r w:rsidRPr="00AE637A">
        <w:rPr>
          <w:sz w:val="24"/>
          <w:szCs w:val="20"/>
        </w:rPr>
        <w:t xml:space="preserve">DETERMINAZIONE </w:t>
      </w:r>
      <w:proofErr w:type="gramStart"/>
      <w:r w:rsidRPr="00AE637A">
        <w:rPr>
          <w:sz w:val="24"/>
          <w:szCs w:val="20"/>
        </w:rPr>
        <w:t>del  Responsabile</w:t>
      </w:r>
      <w:proofErr w:type="gramEnd"/>
      <w:r w:rsidRPr="00AE637A">
        <w:rPr>
          <w:sz w:val="24"/>
          <w:szCs w:val="20"/>
        </w:rPr>
        <w:t xml:space="preserve">  Servizio  Finanziario</w:t>
      </w:r>
    </w:p>
    <w:p w:rsidR="00157327" w:rsidRPr="00AE637A" w:rsidRDefault="002C6647" w:rsidP="00157327">
      <w:pPr>
        <w:ind w:left="142"/>
        <w:jc w:val="center"/>
        <w:rPr>
          <w:sz w:val="24"/>
          <w:szCs w:val="20"/>
        </w:rPr>
      </w:pPr>
      <w:r w:rsidRPr="00AE637A">
        <w:rPr>
          <w:sz w:val="24"/>
          <w:szCs w:val="20"/>
        </w:rPr>
        <w:t>N.  1</w:t>
      </w:r>
      <w:r>
        <w:rPr>
          <w:sz w:val="24"/>
          <w:szCs w:val="20"/>
        </w:rPr>
        <w:t>20</w:t>
      </w:r>
      <w:r w:rsidRPr="00AE637A">
        <w:rPr>
          <w:sz w:val="24"/>
          <w:szCs w:val="20"/>
        </w:rPr>
        <w:t xml:space="preserve"> </w:t>
      </w:r>
      <w:proofErr w:type="gramStart"/>
      <w:r w:rsidRPr="00AE637A">
        <w:rPr>
          <w:sz w:val="24"/>
          <w:szCs w:val="20"/>
        </w:rPr>
        <w:t xml:space="preserve">del  </w:t>
      </w:r>
      <w:r>
        <w:rPr>
          <w:sz w:val="24"/>
          <w:szCs w:val="20"/>
        </w:rPr>
        <w:t>14</w:t>
      </w:r>
      <w:proofErr w:type="gramEnd"/>
      <w:r w:rsidRPr="00AE637A">
        <w:rPr>
          <w:sz w:val="24"/>
          <w:szCs w:val="20"/>
        </w:rPr>
        <w:t>/1</w:t>
      </w:r>
      <w:r>
        <w:rPr>
          <w:sz w:val="24"/>
          <w:szCs w:val="20"/>
        </w:rPr>
        <w:t>2</w:t>
      </w:r>
      <w:r w:rsidRPr="00AE637A">
        <w:rPr>
          <w:sz w:val="24"/>
          <w:szCs w:val="20"/>
        </w:rPr>
        <w:t xml:space="preserve">/2017 </w:t>
      </w:r>
      <w:bookmarkStart w:id="0" w:name="_GoBack"/>
      <w:bookmarkEnd w:id="0"/>
    </w:p>
    <w:p w:rsidR="002C6647" w:rsidRDefault="002C6647" w:rsidP="00157327">
      <w:pPr>
        <w:spacing w:line="237" w:lineRule="auto"/>
        <w:ind w:left="142" w:right="497"/>
        <w:jc w:val="both"/>
        <w:rPr>
          <w:rFonts w:ascii="Arial" w:hAnsi="Arial" w:cs="Arial"/>
        </w:rPr>
      </w:pPr>
      <w:r w:rsidRPr="00AE637A">
        <w:rPr>
          <w:b/>
          <w:sz w:val="24"/>
          <w:szCs w:val="20"/>
        </w:rPr>
        <w:t xml:space="preserve">OGGETTO: </w:t>
      </w:r>
      <w:proofErr w:type="gramStart"/>
      <w:r w:rsidRPr="002C6647">
        <w:rPr>
          <w:b/>
          <w:sz w:val="24"/>
          <w:szCs w:val="20"/>
        </w:rPr>
        <w:t>IMPEGNO  DI</w:t>
      </w:r>
      <w:proofErr w:type="gramEnd"/>
      <w:r w:rsidRPr="002C6647">
        <w:rPr>
          <w:b/>
          <w:sz w:val="24"/>
          <w:szCs w:val="20"/>
        </w:rPr>
        <w:t xml:space="preserve">  SPESA  LIQUIDAZIONE  DIRITTI  DI  SEGRETERIA/ROGITO  </w:t>
      </w:r>
      <w:r w:rsidR="00157327">
        <w:rPr>
          <w:b/>
          <w:sz w:val="24"/>
          <w:szCs w:val="20"/>
        </w:rPr>
        <w:t>ANNO 2017</w:t>
      </w:r>
    </w:p>
    <w:p w:rsidR="002C6647" w:rsidRDefault="002C6647" w:rsidP="002C6647">
      <w:pPr>
        <w:pStyle w:val="NormaleWeb"/>
        <w:jc w:val="both"/>
      </w:pPr>
      <w:r>
        <w:rPr>
          <w:rFonts w:ascii="Arial" w:hAnsi="Arial" w:cs="Arial"/>
        </w:rPr>
        <w:t>Premesso che:</w:t>
      </w:r>
    </w:p>
    <w:p w:rsidR="002C6647" w:rsidRDefault="002C6647" w:rsidP="002C6647">
      <w:pPr>
        <w:pStyle w:val="NormaleWeb"/>
        <w:numPr>
          <w:ilvl w:val="0"/>
          <w:numId w:val="1"/>
        </w:numPr>
        <w:jc w:val="both"/>
      </w:pPr>
      <w:r>
        <w:rPr>
          <w:rFonts w:ascii="Arial" w:hAnsi="Arial" w:cs="Arial"/>
        </w:rPr>
        <w:t>l'art. 10 del D.L. 24/06/2014, n. 90 ha abrogato l'art. 41, comma 4, della legge 11/07/1980, n. 312, dettante norme sulla ripartizione dei diritti di rogito, con decorrenza dal 25/06/2014;</w:t>
      </w:r>
    </w:p>
    <w:p w:rsidR="002C6647" w:rsidRDefault="002C6647" w:rsidP="002C6647">
      <w:pPr>
        <w:pStyle w:val="NormaleWeb"/>
        <w:numPr>
          <w:ilvl w:val="0"/>
          <w:numId w:val="1"/>
        </w:numPr>
        <w:jc w:val="both"/>
      </w:pPr>
      <w:r>
        <w:rPr>
          <w:rFonts w:ascii="Arial" w:hAnsi="Arial" w:cs="Arial"/>
        </w:rPr>
        <w:t>il D.L. 90/2014, nella versione originaria, si limitava ad azzerare il vecchio sistema di riparto, escludendo quindi completamente sia i Segretari comunali sia lo Stato da ogni compenso relativamente ai diritti di rogito;</w:t>
      </w:r>
    </w:p>
    <w:p w:rsidR="002C6647" w:rsidRDefault="002C6647" w:rsidP="002C6647">
      <w:pPr>
        <w:pStyle w:val="NormaleWeb"/>
        <w:numPr>
          <w:ilvl w:val="0"/>
          <w:numId w:val="1"/>
        </w:numPr>
        <w:jc w:val="both"/>
      </w:pPr>
      <w:r>
        <w:rPr>
          <w:rFonts w:ascii="Arial" w:hAnsi="Arial" w:cs="Arial"/>
        </w:rPr>
        <w:t>la legge 11/08/2014 n. 114, di conversione del decreto n. 90/2014, ha ripristinato, anche se con regole differenti, la possibilità per i Segretari di accedere a tali entrate con decorrenza dal 19/08/2014, data di entrata in vigore della nuova norma;</w:t>
      </w:r>
    </w:p>
    <w:p w:rsidR="002C6647" w:rsidRDefault="002C6647" w:rsidP="002C6647">
      <w:pPr>
        <w:pStyle w:val="NormaleWeb"/>
        <w:numPr>
          <w:ilvl w:val="0"/>
          <w:numId w:val="1"/>
        </w:numPr>
        <w:jc w:val="both"/>
      </w:pPr>
      <w:r>
        <w:rPr>
          <w:rFonts w:ascii="Arial" w:hAnsi="Arial" w:cs="Arial"/>
        </w:rPr>
        <w:t xml:space="preserve">la conseguenza di tal iter normativo è che, relativamente agli atti rogitati dal 25/06/2014 al 18/08/2014 (giorno antecedente la data di entrata in vigore della norma introdotta dalla legge 114/2014), i diritti corrispondenti devono essere incamerati al 100% dal Comune non potendosi riconoscere alcunché </w:t>
      </w:r>
      <w:proofErr w:type="spellStart"/>
      <w:proofErr w:type="gramStart"/>
      <w:r>
        <w:rPr>
          <w:rFonts w:ascii="Arial" w:hAnsi="Arial" w:cs="Arial"/>
        </w:rPr>
        <w:t>ne</w:t>
      </w:r>
      <w:proofErr w:type="spellEnd"/>
      <w:proofErr w:type="gramEnd"/>
      <w:r>
        <w:rPr>
          <w:rFonts w:ascii="Arial" w:hAnsi="Arial" w:cs="Arial"/>
        </w:rPr>
        <w:t xml:space="preserve"> al Segretario né allo Stato in quanto tali atti rimangono assoggettati alla disciplina originaria del D.L. 90/2014;</w:t>
      </w:r>
    </w:p>
    <w:p w:rsidR="002C6647" w:rsidRDefault="002C6647" w:rsidP="002C6647">
      <w:pPr>
        <w:pStyle w:val="NormaleWeb"/>
        <w:numPr>
          <w:ilvl w:val="0"/>
          <w:numId w:val="1"/>
        </w:numPr>
        <w:jc w:val="both"/>
      </w:pPr>
      <w:r>
        <w:rPr>
          <w:rFonts w:ascii="Arial" w:hAnsi="Arial" w:cs="Arial"/>
        </w:rPr>
        <w:t xml:space="preserve">a decorrere dal 19/08/2014 i diritti di rogito devono invece essere ripartiti in base alle disposizioni del comma 2-bis, dell'art. 1O, del D.L. n. 90/2014 introdotto dalla legge di conversione n. 114/2014 che recita: </w:t>
      </w:r>
      <w:r>
        <w:rPr>
          <w:rStyle w:val="Enfasicorsivo"/>
          <w:rFonts w:ascii="Arial" w:eastAsiaTheme="majorEastAsia" w:hAnsi="Arial" w:cs="Arial"/>
        </w:rPr>
        <w:t>"Negli enti locali privi di dipendenti con qualifica dirigenziale, e comunque a tutti i segretari comunali che non hanno qualifica dirigenziale, una quota del provento annuale spettante al comune ai sensi dell'artico/o 30, secondo comma, della legge 15 novembre 1973, n. 734, come sostituito dal comma 2 del presente articolo, per gli atti</w:t>
      </w:r>
      <w:r>
        <w:rPr>
          <w:rStyle w:val="Enfasicorsivo"/>
          <w:rFonts w:ascii="Arial" w:eastAsiaTheme="majorEastAsia" w:hAnsi="Arial" w:cs="Arial"/>
        </w:rPr>
        <w:t xml:space="preserve"> </w:t>
      </w:r>
      <w:r>
        <w:rPr>
          <w:rStyle w:val="Enfasicorsivo"/>
          <w:rFonts w:ascii="Arial" w:eastAsiaTheme="majorEastAsia" w:hAnsi="Arial" w:cs="Arial"/>
        </w:rPr>
        <w:t>di</w:t>
      </w:r>
      <w:r>
        <w:rPr>
          <w:rStyle w:val="Enfasicorsivo"/>
          <w:rFonts w:ascii="Arial" w:eastAsiaTheme="majorEastAsia" w:hAnsi="Arial" w:cs="Arial"/>
        </w:rPr>
        <w:t xml:space="preserve"> </w:t>
      </w:r>
      <w:r>
        <w:rPr>
          <w:rStyle w:val="Enfasicorsivo"/>
          <w:rFonts w:ascii="Arial" w:eastAsiaTheme="majorEastAsia" w:hAnsi="Arial" w:cs="Arial"/>
        </w:rPr>
        <w:t xml:space="preserve"> cui ai numeri</w:t>
      </w:r>
      <w:r>
        <w:rPr>
          <w:rStyle w:val="Enfasicorsivo"/>
          <w:rFonts w:ascii="Arial" w:eastAsiaTheme="majorEastAsia" w:hAnsi="Arial" w:cs="Arial"/>
        </w:rPr>
        <w:t xml:space="preserve"> </w:t>
      </w:r>
      <w:r>
        <w:rPr>
          <w:rStyle w:val="Enfasicorsivo"/>
          <w:rFonts w:ascii="Arial" w:eastAsiaTheme="majorEastAsia" w:hAnsi="Arial" w:cs="Arial"/>
        </w:rPr>
        <w:t>1, 2, 3, 4, e 5 della tabella O allegata alla legge 8 giugno 1962, n. 604, e successive modificazioni, è attribuita al segretario comunale rogante, in misura non superiore a un quinto dello stipendio in   godimento"</w:t>
      </w:r>
      <w:r>
        <w:rPr>
          <w:rFonts w:ascii="Arial" w:hAnsi="Arial" w:cs="Arial"/>
        </w:rPr>
        <w:t>.</w:t>
      </w:r>
    </w:p>
    <w:p w:rsidR="002C6647" w:rsidRDefault="002C6647" w:rsidP="002C6647">
      <w:pPr>
        <w:pStyle w:val="NormaleWeb"/>
        <w:jc w:val="both"/>
      </w:pPr>
      <w:r>
        <w:rPr>
          <w:rFonts w:ascii="Arial" w:hAnsi="Arial" w:cs="Arial"/>
        </w:rPr>
        <w:t>Considerato che in ordine alla interpretazione della norma sopra citata, si configurano sostanzialmente due orientamenti; un primo orientamento, espresso dalla sezione Autonomie della Corte dei Conti, con deliberazione n. 21 del 04.06.2015, secondo cui “</w:t>
      </w:r>
      <w:r>
        <w:rPr>
          <w:rStyle w:val="Enfasicorsivo"/>
          <w:rFonts w:ascii="Arial" w:eastAsiaTheme="majorEastAsia" w:hAnsi="Arial" w:cs="Arial"/>
        </w:rPr>
        <w:t xml:space="preserve">alla luce della previsione di cui all’’articolo 10, comma 2 bis, del </w:t>
      </w:r>
      <w:proofErr w:type="spellStart"/>
      <w:r>
        <w:rPr>
          <w:rStyle w:val="Enfasicorsivo"/>
          <w:rFonts w:ascii="Arial" w:eastAsiaTheme="majorEastAsia" w:hAnsi="Arial" w:cs="Arial"/>
        </w:rPr>
        <w:t>d.l.</w:t>
      </w:r>
      <w:proofErr w:type="spellEnd"/>
      <w:r>
        <w:rPr>
          <w:rStyle w:val="Enfasicorsivo"/>
          <w:rFonts w:ascii="Arial" w:eastAsiaTheme="majorEastAsia" w:hAnsi="Arial" w:cs="Arial"/>
        </w:rPr>
        <w:t xml:space="preserve"> 24 giugno 2014, n. 90, convertito con modificazioni dalla legge 11 agosto 2014, n. 114, i diritti di rogito competono ai soli segretari di fascia C”, </w:t>
      </w:r>
      <w:r>
        <w:rPr>
          <w:rFonts w:ascii="Arial" w:hAnsi="Arial" w:cs="Arial"/>
        </w:rPr>
        <w:t>e ciò anche in ragione di una interpretazione sistematica del dettato normativo, che tenga conto anche dei profili di regolamentazione contrattuale del CCNL dei Segretari Comunali</w:t>
      </w:r>
      <w:r>
        <w:rPr>
          <w:rStyle w:val="Enfasicorsivo"/>
          <w:rFonts w:ascii="Arial" w:eastAsiaTheme="majorEastAsia" w:hAnsi="Arial" w:cs="Arial"/>
        </w:rPr>
        <w:t xml:space="preserve">; </w:t>
      </w:r>
      <w:r>
        <w:rPr>
          <w:rFonts w:ascii="Arial" w:hAnsi="Arial" w:cs="Arial"/>
        </w:rPr>
        <w:t xml:space="preserve">un secondo orientamento, di matrice giurisprudenziale, che trova conferma nelle considerazioni recentemente espresse in via incidentale dalla Corte Costituzionale con sentenza n. 75 del 23.02.2016, e da ultimo nelle statuizioni di diverse </w:t>
      </w:r>
      <w:r>
        <w:rPr>
          <w:rFonts w:ascii="Arial" w:hAnsi="Arial" w:cs="Arial"/>
        </w:rPr>
        <w:lastRenderedPageBreak/>
        <w:t>sentenze del Giudice del Lavoro, ( Tribunale di Milano n. 1539 del 18.05.2016 e n. 2561 del 29/9/2016,  Tribunale di Busto Arsizio n. 307 del 3/10/2016, Tribunale di Taranto 3269 del 17/10/2016)  secondo cui i diritti di rogito sono riconosciuti, nella misura del 100%, ai segretari delle fasce A,B,C operanti in Comuni privi di personale dipendente avente qualifica dirigenziale, oltre che, comunque e sempre (attribuiti) ai segretari della fascia C, sebbene nei loro comuni sia presente personale di qualifica dirigenziale;</w:t>
      </w:r>
    </w:p>
    <w:p w:rsidR="002C6647" w:rsidRDefault="002C6647" w:rsidP="002C6647">
      <w:pPr>
        <w:pStyle w:val="NormaleWeb"/>
        <w:jc w:val="both"/>
      </w:pPr>
      <w:r>
        <w:rPr>
          <w:rFonts w:ascii="Arial" w:hAnsi="Arial" w:cs="Arial"/>
        </w:rPr>
        <w:t xml:space="preserve">Ritenuto per quanto sopra di liquidare i diritti di rogito introitati dal Comune di </w:t>
      </w:r>
      <w:r>
        <w:rPr>
          <w:rFonts w:ascii="Arial" w:hAnsi="Arial" w:cs="Arial"/>
        </w:rPr>
        <w:t xml:space="preserve">Gerenzago </w:t>
      </w:r>
      <w:r>
        <w:rPr>
          <w:rFonts w:ascii="Arial" w:hAnsi="Arial" w:cs="Arial"/>
        </w:rPr>
        <w:t xml:space="preserve">nel periodo dal </w:t>
      </w:r>
      <w:r>
        <w:rPr>
          <w:rFonts w:ascii="Arial" w:hAnsi="Arial" w:cs="Arial"/>
        </w:rPr>
        <w:t xml:space="preserve">02.04.2017 </w:t>
      </w:r>
      <w:r>
        <w:rPr>
          <w:rFonts w:ascii="Arial" w:hAnsi="Arial" w:cs="Arial"/>
        </w:rPr>
        <w:t xml:space="preserve">al </w:t>
      </w:r>
      <w:r w:rsidR="00157327">
        <w:rPr>
          <w:rFonts w:ascii="Arial" w:hAnsi="Arial" w:cs="Arial"/>
        </w:rPr>
        <w:t xml:space="preserve">24.11.2017 </w:t>
      </w:r>
      <w:r>
        <w:rPr>
          <w:rFonts w:ascii="Arial" w:hAnsi="Arial" w:cs="Arial"/>
        </w:rPr>
        <w:t>al Segretario comunale dott</w:t>
      </w:r>
      <w:r>
        <w:rPr>
          <w:rFonts w:ascii="Arial" w:hAnsi="Arial" w:cs="Arial"/>
        </w:rPr>
        <w:t xml:space="preserve">.ssa Salvina Venezia, appartenente alla fascia C, </w:t>
      </w:r>
      <w:r>
        <w:rPr>
          <w:rFonts w:ascii="Arial" w:hAnsi="Arial" w:cs="Arial"/>
        </w:rPr>
        <w:t>nel limite massimo di un quinto dello stipendio di godimento, precisandosi che detti diritti risultano introitati al lordo di tutti gli oneri accessori all’erogazione, oneri accessori che verranno pertanto scorporati dalla somma introitata in sede di liquidazione;</w:t>
      </w:r>
    </w:p>
    <w:p w:rsidR="002C6647" w:rsidRDefault="002C6647" w:rsidP="002C6647">
      <w:pPr>
        <w:pStyle w:val="NormaleWeb"/>
        <w:jc w:val="both"/>
      </w:pPr>
      <w:r>
        <w:rPr>
          <w:rFonts w:ascii="Arial" w:hAnsi="Arial" w:cs="Arial"/>
        </w:rPr>
        <w:t xml:space="preserve">Rilevato che nel Comune di </w:t>
      </w:r>
      <w:r>
        <w:rPr>
          <w:rFonts w:ascii="Arial" w:hAnsi="Arial" w:cs="Arial"/>
        </w:rPr>
        <w:t>Gerenzago</w:t>
      </w:r>
      <w:r>
        <w:rPr>
          <w:rFonts w:ascii="Arial" w:hAnsi="Arial" w:cs="Arial"/>
        </w:rPr>
        <w:t xml:space="preserve"> ove il </w:t>
      </w:r>
      <w:r>
        <w:rPr>
          <w:rFonts w:ascii="Arial" w:hAnsi="Arial" w:cs="Arial"/>
        </w:rPr>
        <w:t xml:space="preserve">dott.ssa Salvina </w:t>
      </w:r>
      <w:proofErr w:type="gramStart"/>
      <w:r>
        <w:rPr>
          <w:rFonts w:ascii="Arial" w:hAnsi="Arial" w:cs="Arial"/>
        </w:rPr>
        <w:t xml:space="preserve">Venezia </w:t>
      </w:r>
      <w:r>
        <w:rPr>
          <w:rFonts w:ascii="Arial" w:hAnsi="Arial" w:cs="Arial"/>
        </w:rPr>
        <w:t xml:space="preserve"> presta</w:t>
      </w:r>
      <w:proofErr w:type="gramEnd"/>
      <w:r>
        <w:rPr>
          <w:rFonts w:ascii="Arial" w:hAnsi="Arial" w:cs="Arial"/>
        </w:rPr>
        <w:t xml:space="preserve"> servizio, non è impiegato personale dipendente di qualifica dirigenziale, né ciò si verifica con riferimento agli altri Comuni cui si estende la convenzione di segreteria associata, e verificato altresì che l'importo dei diritti di rogito riscossi dal Comune di </w:t>
      </w:r>
      <w:r>
        <w:rPr>
          <w:rFonts w:ascii="Arial" w:hAnsi="Arial" w:cs="Arial"/>
        </w:rPr>
        <w:t xml:space="preserve"> Gerenzago</w:t>
      </w:r>
      <w:r>
        <w:rPr>
          <w:rFonts w:ascii="Arial" w:hAnsi="Arial" w:cs="Arial"/>
        </w:rPr>
        <w:t xml:space="preserve"> sommato a quelli riscossi dagli altri comuni convenzionati, non eccede la misura di un quinto dello stipendio di godimento del Segretario comunale;</w:t>
      </w:r>
    </w:p>
    <w:p w:rsidR="002C6647" w:rsidRDefault="002C6647" w:rsidP="002C6647">
      <w:pPr>
        <w:pStyle w:val="NormaleWeb"/>
        <w:jc w:val="both"/>
        <w:rPr>
          <w:rFonts w:ascii="Arial" w:hAnsi="Arial" w:cs="Arial"/>
        </w:rPr>
      </w:pPr>
      <w:r>
        <w:rPr>
          <w:rFonts w:ascii="Arial" w:hAnsi="Arial" w:cs="Arial"/>
        </w:rPr>
        <w:t xml:space="preserve">Dato atto che nel periodo che qui rileva, dal </w:t>
      </w:r>
      <w:r>
        <w:rPr>
          <w:rFonts w:ascii="Arial" w:hAnsi="Arial" w:cs="Arial"/>
        </w:rPr>
        <w:t>02.04.2017 al</w:t>
      </w:r>
      <w:r w:rsidR="00157327">
        <w:rPr>
          <w:rFonts w:ascii="Arial" w:hAnsi="Arial" w:cs="Arial"/>
        </w:rPr>
        <w:t xml:space="preserve"> 2</w:t>
      </w:r>
      <w:r w:rsidR="008821FC">
        <w:rPr>
          <w:rFonts w:ascii="Arial" w:hAnsi="Arial" w:cs="Arial"/>
        </w:rPr>
        <w:t>4</w:t>
      </w:r>
      <w:r>
        <w:rPr>
          <w:rFonts w:ascii="Arial" w:hAnsi="Arial" w:cs="Arial"/>
        </w:rPr>
        <w:t>.1</w:t>
      </w:r>
      <w:r w:rsidR="00157327">
        <w:rPr>
          <w:rFonts w:ascii="Arial" w:hAnsi="Arial" w:cs="Arial"/>
        </w:rPr>
        <w:t>1</w:t>
      </w:r>
      <w:r>
        <w:rPr>
          <w:rFonts w:ascii="Arial" w:hAnsi="Arial" w:cs="Arial"/>
        </w:rPr>
        <w:t xml:space="preserve">.2017 </w:t>
      </w:r>
      <w:r>
        <w:rPr>
          <w:rFonts w:ascii="Arial" w:hAnsi="Arial" w:cs="Arial"/>
        </w:rPr>
        <w:t xml:space="preserve">sono stati incassati € </w:t>
      </w:r>
      <w:r>
        <w:rPr>
          <w:rFonts w:ascii="Arial" w:hAnsi="Arial" w:cs="Arial"/>
        </w:rPr>
        <w:t xml:space="preserve">1.978,84 </w:t>
      </w:r>
      <w:r>
        <w:rPr>
          <w:rFonts w:ascii="Arial" w:hAnsi="Arial" w:cs="Arial"/>
        </w:rPr>
        <w:t>per diritti di rogito</w:t>
      </w:r>
      <w:r w:rsidR="008821FC">
        <w:rPr>
          <w:rFonts w:ascii="Arial" w:hAnsi="Arial" w:cs="Arial"/>
        </w:rPr>
        <w:t>/segreteria</w:t>
      </w:r>
      <w:r>
        <w:rPr>
          <w:rFonts w:ascii="Arial" w:hAnsi="Arial" w:cs="Arial"/>
        </w:rPr>
        <w:t xml:space="preserve">, come da </w:t>
      </w:r>
      <w:r>
        <w:rPr>
          <w:rFonts w:ascii="Arial" w:hAnsi="Arial" w:cs="Arial"/>
        </w:rPr>
        <w:t xml:space="preserve">seguente </w:t>
      </w:r>
      <w:r>
        <w:rPr>
          <w:rFonts w:ascii="Arial" w:hAnsi="Arial" w:cs="Arial"/>
        </w:rPr>
        <w:t>prospetto</w:t>
      </w:r>
      <w:r>
        <w:rPr>
          <w:rFonts w:ascii="Arial" w:hAnsi="Arial" w:cs="Arial"/>
        </w:rPr>
        <w:t>:</w:t>
      </w:r>
    </w:p>
    <w:tbl>
      <w:tblPr>
        <w:tblStyle w:val="Grigliatabella"/>
        <w:tblW w:w="9776" w:type="dxa"/>
        <w:tblLook w:val="04A0" w:firstRow="1" w:lastRow="0" w:firstColumn="1" w:lastColumn="0" w:noHBand="0" w:noVBand="1"/>
      </w:tblPr>
      <w:tblGrid>
        <w:gridCol w:w="1696"/>
        <w:gridCol w:w="1418"/>
        <w:gridCol w:w="5245"/>
        <w:gridCol w:w="1417"/>
      </w:tblGrid>
      <w:tr w:rsidR="002C6647" w:rsidTr="008821FC">
        <w:tc>
          <w:tcPr>
            <w:tcW w:w="1696" w:type="dxa"/>
          </w:tcPr>
          <w:p w:rsidR="002C6647" w:rsidRPr="008821FC" w:rsidRDefault="002C6647" w:rsidP="002C6647">
            <w:pPr>
              <w:pStyle w:val="NormaleWeb"/>
              <w:jc w:val="both"/>
              <w:rPr>
                <w:rFonts w:ascii="Arial" w:hAnsi="Arial" w:cs="Arial"/>
                <w:b/>
              </w:rPr>
            </w:pPr>
            <w:r w:rsidRPr="008821FC">
              <w:rPr>
                <w:rFonts w:ascii="Arial" w:hAnsi="Arial" w:cs="Arial"/>
                <w:b/>
              </w:rPr>
              <w:t xml:space="preserve">N. repertorio </w:t>
            </w:r>
          </w:p>
        </w:tc>
        <w:tc>
          <w:tcPr>
            <w:tcW w:w="1418" w:type="dxa"/>
          </w:tcPr>
          <w:p w:rsidR="002C6647" w:rsidRPr="008821FC" w:rsidRDefault="002C6647" w:rsidP="002C6647">
            <w:pPr>
              <w:pStyle w:val="NormaleWeb"/>
              <w:jc w:val="both"/>
              <w:rPr>
                <w:rFonts w:ascii="Arial" w:hAnsi="Arial" w:cs="Arial"/>
                <w:b/>
              </w:rPr>
            </w:pPr>
            <w:r w:rsidRPr="008821FC">
              <w:rPr>
                <w:rFonts w:ascii="Arial" w:hAnsi="Arial" w:cs="Arial"/>
                <w:b/>
              </w:rPr>
              <w:t xml:space="preserve">Data </w:t>
            </w:r>
          </w:p>
        </w:tc>
        <w:tc>
          <w:tcPr>
            <w:tcW w:w="5245" w:type="dxa"/>
          </w:tcPr>
          <w:p w:rsidR="002C6647" w:rsidRPr="008821FC" w:rsidRDefault="002C6647" w:rsidP="002C6647">
            <w:pPr>
              <w:pStyle w:val="NormaleWeb"/>
              <w:jc w:val="both"/>
              <w:rPr>
                <w:rFonts w:ascii="Arial" w:hAnsi="Arial" w:cs="Arial"/>
                <w:b/>
              </w:rPr>
            </w:pPr>
            <w:r w:rsidRPr="008821FC">
              <w:rPr>
                <w:rFonts w:ascii="Arial" w:hAnsi="Arial" w:cs="Arial"/>
                <w:b/>
              </w:rPr>
              <w:t xml:space="preserve">Oggetto </w:t>
            </w:r>
          </w:p>
        </w:tc>
        <w:tc>
          <w:tcPr>
            <w:tcW w:w="1417" w:type="dxa"/>
          </w:tcPr>
          <w:p w:rsidR="002C6647" w:rsidRPr="008821FC" w:rsidRDefault="002C6647" w:rsidP="002C6647">
            <w:pPr>
              <w:pStyle w:val="NormaleWeb"/>
              <w:jc w:val="both"/>
              <w:rPr>
                <w:rFonts w:ascii="Arial" w:hAnsi="Arial" w:cs="Arial"/>
                <w:b/>
              </w:rPr>
            </w:pPr>
            <w:r w:rsidRPr="008821FC">
              <w:rPr>
                <w:rFonts w:ascii="Arial" w:hAnsi="Arial" w:cs="Arial"/>
                <w:b/>
              </w:rPr>
              <w:t>importo</w:t>
            </w:r>
          </w:p>
        </w:tc>
      </w:tr>
      <w:tr w:rsidR="002C6647" w:rsidTr="008821FC">
        <w:tc>
          <w:tcPr>
            <w:tcW w:w="1696" w:type="dxa"/>
          </w:tcPr>
          <w:p w:rsidR="002C6647" w:rsidRDefault="008821FC" w:rsidP="002C6647">
            <w:pPr>
              <w:pStyle w:val="NormaleWeb"/>
              <w:jc w:val="both"/>
              <w:rPr>
                <w:rFonts w:ascii="Arial" w:hAnsi="Arial" w:cs="Arial"/>
              </w:rPr>
            </w:pPr>
            <w:r>
              <w:rPr>
                <w:rFonts w:ascii="Arial" w:hAnsi="Arial" w:cs="Arial"/>
              </w:rPr>
              <w:t>307</w:t>
            </w:r>
          </w:p>
        </w:tc>
        <w:tc>
          <w:tcPr>
            <w:tcW w:w="1418" w:type="dxa"/>
          </w:tcPr>
          <w:p w:rsidR="002C6647" w:rsidRDefault="008821FC" w:rsidP="002C6647">
            <w:pPr>
              <w:pStyle w:val="NormaleWeb"/>
              <w:jc w:val="both"/>
              <w:rPr>
                <w:rFonts w:ascii="Arial" w:hAnsi="Arial" w:cs="Arial"/>
              </w:rPr>
            </w:pPr>
            <w:r>
              <w:rPr>
                <w:rFonts w:ascii="Arial" w:hAnsi="Arial" w:cs="Arial"/>
              </w:rPr>
              <w:t>30.06.2017</w:t>
            </w:r>
          </w:p>
        </w:tc>
        <w:tc>
          <w:tcPr>
            <w:tcW w:w="5245" w:type="dxa"/>
          </w:tcPr>
          <w:p w:rsidR="002C6647" w:rsidRDefault="008821FC" w:rsidP="002C6647">
            <w:pPr>
              <w:pStyle w:val="NormaleWeb"/>
              <w:jc w:val="both"/>
              <w:rPr>
                <w:rFonts w:ascii="Arial" w:hAnsi="Arial" w:cs="Arial"/>
              </w:rPr>
            </w:pPr>
            <w:r>
              <w:rPr>
                <w:rFonts w:ascii="Arial" w:hAnsi="Arial" w:cs="Arial"/>
              </w:rPr>
              <w:t xml:space="preserve">Convenzione per la gestione del servizio di tesoreria comunale </w:t>
            </w:r>
          </w:p>
        </w:tc>
        <w:tc>
          <w:tcPr>
            <w:tcW w:w="1417" w:type="dxa"/>
          </w:tcPr>
          <w:p w:rsidR="002C6647" w:rsidRDefault="008821FC" w:rsidP="002C6647">
            <w:pPr>
              <w:pStyle w:val="NormaleWeb"/>
              <w:jc w:val="both"/>
              <w:rPr>
                <w:rFonts w:ascii="Arial" w:hAnsi="Arial" w:cs="Arial"/>
              </w:rPr>
            </w:pPr>
            <w:r>
              <w:rPr>
                <w:rFonts w:ascii="Arial" w:hAnsi="Arial" w:cs="Arial"/>
              </w:rPr>
              <w:t>€ 139,64</w:t>
            </w:r>
          </w:p>
        </w:tc>
      </w:tr>
      <w:tr w:rsidR="002C6647" w:rsidTr="008821FC">
        <w:tc>
          <w:tcPr>
            <w:tcW w:w="1696" w:type="dxa"/>
          </w:tcPr>
          <w:p w:rsidR="002C6647" w:rsidRDefault="008821FC" w:rsidP="002C6647">
            <w:pPr>
              <w:pStyle w:val="NormaleWeb"/>
              <w:jc w:val="both"/>
              <w:rPr>
                <w:rFonts w:ascii="Arial" w:hAnsi="Arial" w:cs="Arial"/>
              </w:rPr>
            </w:pPr>
            <w:r>
              <w:rPr>
                <w:rFonts w:ascii="Arial" w:hAnsi="Arial" w:cs="Arial"/>
              </w:rPr>
              <w:t>316</w:t>
            </w:r>
          </w:p>
        </w:tc>
        <w:tc>
          <w:tcPr>
            <w:tcW w:w="1418" w:type="dxa"/>
          </w:tcPr>
          <w:p w:rsidR="002C6647" w:rsidRDefault="008821FC" w:rsidP="002C6647">
            <w:pPr>
              <w:pStyle w:val="NormaleWeb"/>
              <w:jc w:val="both"/>
              <w:rPr>
                <w:rFonts w:ascii="Arial" w:hAnsi="Arial" w:cs="Arial"/>
              </w:rPr>
            </w:pPr>
            <w:r>
              <w:rPr>
                <w:rFonts w:ascii="Arial" w:hAnsi="Arial" w:cs="Arial"/>
              </w:rPr>
              <w:t>17.11.2017</w:t>
            </w:r>
          </w:p>
        </w:tc>
        <w:tc>
          <w:tcPr>
            <w:tcW w:w="5245" w:type="dxa"/>
          </w:tcPr>
          <w:p w:rsidR="002C6647" w:rsidRDefault="008821FC" w:rsidP="002C6647">
            <w:pPr>
              <w:pStyle w:val="NormaleWeb"/>
              <w:jc w:val="both"/>
              <w:rPr>
                <w:rFonts w:ascii="Arial" w:hAnsi="Arial" w:cs="Arial"/>
              </w:rPr>
            </w:pPr>
            <w:r>
              <w:rPr>
                <w:rFonts w:ascii="Arial" w:hAnsi="Arial" w:cs="Arial"/>
              </w:rPr>
              <w:t>Convenzione per la gestione in concessione del servizio asilo nido</w:t>
            </w:r>
          </w:p>
        </w:tc>
        <w:tc>
          <w:tcPr>
            <w:tcW w:w="1417" w:type="dxa"/>
          </w:tcPr>
          <w:p w:rsidR="002C6647" w:rsidRDefault="008821FC" w:rsidP="002C6647">
            <w:pPr>
              <w:pStyle w:val="NormaleWeb"/>
              <w:jc w:val="both"/>
              <w:rPr>
                <w:rFonts w:ascii="Arial" w:hAnsi="Arial" w:cs="Arial"/>
              </w:rPr>
            </w:pPr>
            <w:r>
              <w:rPr>
                <w:rFonts w:ascii="Arial" w:hAnsi="Arial" w:cs="Arial"/>
              </w:rPr>
              <w:t>€ 1.056,36</w:t>
            </w:r>
          </w:p>
        </w:tc>
      </w:tr>
      <w:tr w:rsidR="002C6647" w:rsidTr="008821FC">
        <w:tc>
          <w:tcPr>
            <w:tcW w:w="1696" w:type="dxa"/>
          </w:tcPr>
          <w:p w:rsidR="002C6647" w:rsidRDefault="008821FC" w:rsidP="002C6647">
            <w:pPr>
              <w:pStyle w:val="NormaleWeb"/>
              <w:jc w:val="both"/>
              <w:rPr>
                <w:rFonts w:ascii="Arial" w:hAnsi="Arial" w:cs="Arial"/>
              </w:rPr>
            </w:pPr>
            <w:r>
              <w:rPr>
                <w:rFonts w:ascii="Arial" w:hAnsi="Arial" w:cs="Arial"/>
              </w:rPr>
              <w:t>317</w:t>
            </w:r>
          </w:p>
        </w:tc>
        <w:tc>
          <w:tcPr>
            <w:tcW w:w="1418" w:type="dxa"/>
          </w:tcPr>
          <w:p w:rsidR="002C6647" w:rsidRDefault="008821FC" w:rsidP="002C6647">
            <w:pPr>
              <w:pStyle w:val="NormaleWeb"/>
              <w:jc w:val="both"/>
              <w:rPr>
                <w:rFonts w:ascii="Arial" w:hAnsi="Arial" w:cs="Arial"/>
              </w:rPr>
            </w:pPr>
            <w:r>
              <w:rPr>
                <w:rFonts w:ascii="Arial" w:hAnsi="Arial" w:cs="Arial"/>
              </w:rPr>
              <w:t>24.11.2017</w:t>
            </w:r>
          </w:p>
        </w:tc>
        <w:tc>
          <w:tcPr>
            <w:tcW w:w="5245" w:type="dxa"/>
          </w:tcPr>
          <w:p w:rsidR="002C6647" w:rsidRDefault="008821FC" w:rsidP="002C6647">
            <w:pPr>
              <w:pStyle w:val="NormaleWeb"/>
              <w:jc w:val="both"/>
              <w:rPr>
                <w:rFonts w:ascii="Arial" w:hAnsi="Arial" w:cs="Arial"/>
              </w:rPr>
            </w:pPr>
            <w:r>
              <w:rPr>
                <w:rFonts w:ascii="Arial" w:hAnsi="Arial" w:cs="Arial"/>
              </w:rPr>
              <w:t xml:space="preserve">Convenzione per la gestione in concessione del </w:t>
            </w:r>
            <w:proofErr w:type="spellStart"/>
            <w:r>
              <w:rPr>
                <w:rFonts w:ascii="Arial" w:hAnsi="Arial" w:cs="Arial"/>
              </w:rPr>
              <w:t>servzxio</w:t>
            </w:r>
            <w:proofErr w:type="spellEnd"/>
            <w:r>
              <w:rPr>
                <w:rFonts w:ascii="Arial" w:hAnsi="Arial" w:cs="Arial"/>
              </w:rPr>
              <w:t xml:space="preserve"> di refezione scolastica</w:t>
            </w:r>
          </w:p>
        </w:tc>
        <w:tc>
          <w:tcPr>
            <w:tcW w:w="1417" w:type="dxa"/>
          </w:tcPr>
          <w:p w:rsidR="002C6647" w:rsidRDefault="008821FC" w:rsidP="002C6647">
            <w:pPr>
              <w:pStyle w:val="NormaleWeb"/>
              <w:jc w:val="both"/>
              <w:rPr>
                <w:rFonts w:ascii="Arial" w:hAnsi="Arial" w:cs="Arial"/>
              </w:rPr>
            </w:pPr>
            <w:r>
              <w:rPr>
                <w:rFonts w:ascii="Arial" w:hAnsi="Arial" w:cs="Arial"/>
              </w:rPr>
              <w:t>€ 782,84</w:t>
            </w:r>
          </w:p>
        </w:tc>
      </w:tr>
    </w:tbl>
    <w:p w:rsidR="008821FC" w:rsidRDefault="008821FC" w:rsidP="002C6647">
      <w:pPr>
        <w:pStyle w:val="NormaleWeb"/>
        <w:jc w:val="both"/>
        <w:rPr>
          <w:rFonts w:ascii="Arial" w:hAnsi="Arial" w:cs="Arial"/>
        </w:rPr>
      </w:pPr>
      <w:r w:rsidRPr="008821FC">
        <w:rPr>
          <w:rFonts w:ascii="Arial" w:hAnsi="Arial" w:cs="Arial"/>
        </w:rPr>
        <w:t>Richiamat</w:t>
      </w:r>
      <w:r>
        <w:rPr>
          <w:rFonts w:ascii="Arial" w:hAnsi="Arial" w:cs="Arial"/>
        </w:rPr>
        <w:t>e:</w:t>
      </w:r>
    </w:p>
    <w:p w:rsidR="002C6647" w:rsidRDefault="008821FC" w:rsidP="002C6647">
      <w:pPr>
        <w:pStyle w:val="NormaleWeb"/>
        <w:jc w:val="both"/>
        <w:rPr>
          <w:rFonts w:ascii="Arial" w:hAnsi="Arial" w:cs="Arial"/>
        </w:rPr>
      </w:pPr>
      <w:r>
        <w:rPr>
          <w:rFonts w:ascii="Arial" w:hAnsi="Arial" w:cs="Arial"/>
        </w:rPr>
        <w:t>-</w:t>
      </w:r>
      <w:r w:rsidRPr="008821FC">
        <w:rPr>
          <w:rFonts w:ascii="Arial" w:hAnsi="Arial" w:cs="Arial"/>
        </w:rPr>
        <w:t xml:space="preserve"> la delibera di Consiglio Comunale n° 8 del 31/03/2017 con la quale è stato approvato il Documento –unico di Programmazione (DUP) 2017/2019 e del Bilancio di previsione 2017/2019 e relativi allegati;</w:t>
      </w:r>
    </w:p>
    <w:p w:rsidR="00157327" w:rsidRDefault="008821FC" w:rsidP="002C6647">
      <w:pPr>
        <w:pStyle w:val="NormaleWeb"/>
        <w:jc w:val="both"/>
        <w:rPr>
          <w:rFonts w:ascii="Arial" w:hAnsi="Arial" w:cs="Arial"/>
        </w:rPr>
      </w:pPr>
      <w:r w:rsidRPr="00157327">
        <w:rPr>
          <w:rFonts w:ascii="Arial" w:hAnsi="Arial" w:cs="Arial"/>
        </w:rPr>
        <w:t xml:space="preserve">- la determinazione del Responsabile finanziario n. 119 del 14.12.2017 dall’oggetto “Variazione al bilancio di previsione 2017 - 2019 (competenza e cassa 2017) da parte del Responsabile del Servizio Finanziario ai sensi e nel rispetto delle disposizioni di cui all’art. 175 comma 5-quater del </w:t>
      </w:r>
      <w:proofErr w:type="spellStart"/>
      <w:proofErr w:type="gramStart"/>
      <w:r w:rsidRPr="00157327">
        <w:rPr>
          <w:rFonts w:ascii="Arial" w:hAnsi="Arial" w:cs="Arial"/>
        </w:rPr>
        <w:t>D.Lgs</w:t>
      </w:r>
      <w:proofErr w:type="gramEnd"/>
      <w:r w:rsidRPr="00157327">
        <w:rPr>
          <w:rFonts w:ascii="Arial" w:hAnsi="Arial" w:cs="Arial"/>
        </w:rPr>
        <w:t>.</w:t>
      </w:r>
      <w:proofErr w:type="spellEnd"/>
      <w:r w:rsidRPr="00157327">
        <w:rPr>
          <w:rFonts w:ascii="Arial" w:hAnsi="Arial" w:cs="Arial"/>
        </w:rPr>
        <w:t xml:space="preserve"> 267/2000;</w:t>
      </w:r>
    </w:p>
    <w:p w:rsidR="00157327" w:rsidRPr="00157327" w:rsidRDefault="00157327" w:rsidP="00157327">
      <w:pPr>
        <w:pStyle w:val="NormaleWeb"/>
        <w:jc w:val="both"/>
        <w:rPr>
          <w:rFonts w:ascii="Arial" w:hAnsi="Arial" w:cs="Arial"/>
        </w:rPr>
      </w:pPr>
      <w:r w:rsidRPr="00157327">
        <w:rPr>
          <w:rFonts w:ascii="Arial" w:hAnsi="Arial" w:cs="Arial"/>
        </w:rPr>
        <w:t>Visti:</w:t>
      </w:r>
    </w:p>
    <w:p w:rsidR="00157327" w:rsidRPr="00157327" w:rsidRDefault="00157327" w:rsidP="00157327">
      <w:pPr>
        <w:pStyle w:val="NormaleWeb"/>
        <w:jc w:val="both"/>
        <w:rPr>
          <w:rFonts w:ascii="Arial" w:hAnsi="Arial" w:cs="Arial"/>
        </w:rPr>
      </w:pPr>
      <w:r w:rsidRPr="00157327">
        <w:rPr>
          <w:rFonts w:ascii="Arial" w:hAnsi="Arial" w:cs="Arial"/>
        </w:rPr>
        <w:t xml:space="preserve">- il </w:t>
      </w:r>
      <w:proofErr w:type="spellStart"/>
      <w:proofErr w:type="gramStart"/>
      <w:r w:rsidRPr="00157327">
        <w:rPr>
          <w:rFonts w:ascii="Arial" w:hAnsi="Arial" w:cs="Arial"/>
        </w:rPr>
        <w:t>D.Lgs</w:t>
      </w:r>
      <w:proofErr w:type="spellEnd"/>
      <w:proofErr w:type="gramEnd"/>
      <w:r w:rsidRPr="00157327">
        <w:rPr>
          <w:rFonts w:ascii="Arial" w:hAnsi="Arial" w:cs="Arial"/>
        </w:rPr>
        <w:t xml:space="preserve"> n° 267 del 18/08/2000 e </w:t>
      </w:r>
      <w:proofErr w:type="spellStart"/>
      <w:r w:rsidRPr="00157327">
        <w:rPr>
          <w:rFonts w:ascii="Arial" w:hAnsi="Arial" w:cs="Arial"/>
        </w:rPr>
        <w:t>s.m.i.</w:t>
      </w:r>
      <w:proofErr w:type="spellEnd"/>
    </w:p>
    <w:p w:rsidR="00157327" w:rsidRPr="00157327" w:rsidRDefault="00157327" w:rsidP="00157327">
      <w:pPr>
        <w:pStyle w:val="NormaleWeb"/>
        <w:jc w:val="both"/>
        <w:rPr>
          <w:rFonts w:ascii="Arial" w:hAnsi="Arial" w:cs="Arial"/>
        </w:rPr>
      </w:pPr>
      <w:r w:rsidRPr="00157327">
        <w:rPr>
          <w:rFonts w:ascii="Arial" w:hAnsi="Arial" w:cs="Arial"/>
        </w:rPr>
        <w:t xml:space="preserve">- la Legge n° 241 del 07/08/1990 e </w:t>
      </w:r>
      <w:proofErr w:type="spellStart"/>
      <w:r w:rsidRPr="00157327">
        <w:rPr>
          <w:rFonts w:ascii="Arial" w:hAnsi="Arial" w:cs="Arial"/>
        </w:rPr>
        <w:t>s.m.i.</w:t>
      </w:r>
      <w:proofErr w:type="spellEnd"/>
    </w:p>
    <w:p w:rsidR="00157327" w:rsidRPr="00157327" w:rsidRDefault="00157327" w:rsidP="00157327">
      <w:pPr>
        <w:pStyle w:val="NormaleWeb"/>
        <w:jc w:val="both"/>
        <w:rPr>
          <w:rFonts w:ascii="Arial" w:hAnsi="Arial" w:cs="Arial"/>
        </w:rPr>
      </w:pPr>
      <w:r w:rsidRPr="00157327">
        <w:rPr>
          <w:rFonts w:ascii="Arial" w:hAnsi="Arial" w:cs="Arial"/>
        </w:rPr>
        <w:t>- lo Statuto Comunale;</w:t>
      </w:r>
    </w:p>
    <w:p w:rsidR="00157327" w:rsidRPr="00157327" w:rsidRDefault="00157327" w:rsidP="00157327">
      <w:pPr>
        <w:pStyle w:val="NormaleWeb"/>
        <w:jc w:val="both"/>
        <w:rPr>
          <w:rFonts w:ascii="Arial" w:hAnsi="Arial" w:cs="Arial"/>
        </w:rPr>
      </w:pPr>
      <w:r w:rsidRPr="00157327">
        <w:rPr>
          <w:rFonts w:ascii="Arial" w:hAnsi="Arial" w:cs="Arial"/>
        </w:rPr>
        <w:t>- il vigente Regolamento Comunale di Contabilità</w:t>
      </w:r>
    </w:p>
    <w:p w:rsidR="00157327" w:rsidRDefault="00157327" w:rsidP="00157327">
      <w:pPr>
        <w:pStyle w:val="NormaleWeb"/>
        <w:jc w:val="both"/>
        <w:rPr>
          <w:rFonts w:ascii="Arial" w:hAnsi="Arial" w:cs="Arial"/>
        </w:rPr>
      </w:pPr>
      <w:r w:rsidRPr="00157327">
        <w:rPr>
          <w:rFonts w:ascii="Arial" w:hAnsi="Arial" w:cs="Arial"/>
        </w:rPr>
        <w:t xml:space="preserve">Dato Atto che con la firma della presente determinazione da parte del Responsabile del servizio è rilasciato anche parere di regolarità tecnica, attestante la regolarità e la correttezza dell’azione amministrativa, ai sensi dell’art.147- bis del </w:t>
      </w:r>
      <w:proofErr w:type="spellStart"/>
      <w:proofErr w:type="gramStart"/>
      <w:r w:rsidRPr="00157327">
        <w:rPr>
          <w:rFonts w:ascii="Arial" w:hAnsi="Arial" w:cs="Arial"/>
        </w:rPr>
        <w:t>D.Lgs</w:t>
      </w:r>
      <w:proofErr w:type="spellEnd"/>
      <w:proofErr w:type="gramEnd"/>
      <w:r w:rsidRPr="00157327">
        <w:rPr>
          <w:rFonts w:ascii="Arial" w:hAnsi="Arial" w:cs="Arial"/>
        </w:rPr>
        <w:t xml:space="preserve"> 267/2000;</w:t>
      </w:r>
    </w:p>
    <w:p w:rsidR="00157327" w:rsidRPr="00157327" w:rsidRDefault="00157327" w:rsidP="00157327">
      <w:pPr>
        <w:rPr>
          <w:rFonts w:ascii="Arial" w:eastAsia="Times New Roman" w:hAnsi="Arial" w:cs="Arial"/>
          <w:sz w:val="24"/>
          <w:szCs w:val="24"/>
          <w:lang w:eastAsia="it-IT"/>
        </w:rPr>
      </w:pPr>
      <w:r w:rsidRPr="00157327">
        <w:rPr>
          <w:rFonts w:ascii="Arial" w:eastAsia="Times New Roman" w:hAnsi="Arial" w:cs="Arial"/>
          <w:sz w:val="24"/>
          <w:szCs w:val="24"/>
          <w:lang w:eastAsia="it-IT"/>
        </w:rPr>
        <w:t>Dato atto che il visto di regolarità contabile attestante la copertura finanziaria è riportato in calce al presente atto e si intende qua inserito ad ogni effetto;</w:t>
      </w:r>
    </w:p>
    <w:p w:rsidR="002C6647" w:rsidRPr="00157327" w:rsidRDefault="002C6647" w:rsidP="00157327">
      <w:pPr>
        <w:pStyle w:val="NormaleWeb"/>
        <w:jc w:val="center"/>
        <w:rPr>
          <w:rFonts w:ascii="Arial" w:hAnsi="Arial" w:cs="Arial"/>
          <w:b/>
        </w:rPr>
      </w:pPr>
      <w:r w:rsidRPr="00157327">
        <w:rPr>
          <w:rFonts w:ascii="Arial" w:hAnsi="Arial" w:cs="Arial"/>
          <w:b/>
        </w:rPr>
        <w:t>DETERMINA</w:t>
      </w:r>
    </w:p>
    <w:p w:rsidR="002C6647" w:rsidRPr="00157327" w:rsidRDefault="002C6647" w:rsidP="002C6647">
      <w:pPr>
        <w:pStyle w:val="NormaleWeb"/>
        <w:jc w:val="both"/>
        <w:rPr>
          <w:rFonts w:ascii="Arial" w:hAnsi="Arial" w:cs="Arial"/>
        </w:rPr>
      </w:pPr>
      <w:r w:rsidRPr="00157327">
        <w:rPr>
          <w:rFonts w:ascii="Arial" w:hAnsi="Arial" w:cs="Arial"/>
        </w:rPr>
        <w:t>1) di approvare i richiami, le premesse e l’intera narrativa quali parti integranti e sostanziali   del dispositivo;</w:t>
      </w:r>
    </w:p>
    <w:p w:rsidR="002C6647" w:rsidRPr="00157327" w:rsidRDefault="002C6647" w:rsidP="002C6647">
      <w:pPr>
        <w:pStyle w:val="NormaleWeb"/>
        <w:jc w:val="both"/>
        <w:rPr>
          <w:rFonts w:ascii="Arial" w:hAnsi="Arial" w:cs="Arial"/>
        </w:rPr>
      </w:pPr>
      <w:r w:rsidRPr="00157327">
        <w:rPr>
          <w:rFonts w:ascii="Arial" w:hAnsi="Arial" w:cs="Arial"/>
        </w:rPr>
        <w:t xml:space="preserve">2) di prendere atto che nel periodo dal </w:t>
      </w:r>
      <w:r w:rsidR="008821FC" w:rsidRPr="00157327">
        <w:rPr>
          <w:rFonts w:ascii="Arial" w:hAnsi="Arial" w:cs="Arial"/>
        </w:rPr>
        <w:t xml:space="preserve">2.04.2017 al </w:t>
      </w:r>
      <w:r w:rsidR="00157327">
        <w:rPr>
          <w:rFonts w:ascii="Arial" w:hAnsi="Arial" w:cs="Arial"/>
        </w:rPr>
        <w:t>2</w:t>
      </w:r>
      <w:r w:rsidR="008821FC" w:rsidRPr="00157327">
        <w:rPr>
          <w:rFonts w:ascii="Arial" w:hAnsi="Arial" w:cs="Arial"/>
        </w:rPr>
        <w:t>4.1</w:t>
      </w:r>
      <w:r w:rsidR="00157327">
        <w:rPr>
          <w:rFonts w:ascii="Arial" w:hAnsi="Arial" w:cs="Arial"/>
        </w:rPr>
        <w:t>1</w:t>
      </w:r>
      <w:r w:rsidR="008821FC" w:rsidRPr="00157327">
        <w:rPr>
          <w:rFonts w:ascii="Arial" w:hAnsi="Arial" w:cs="Arial"/>
        </w:rPr>
        <w:t>.2017</w:t>
      </w:r>
      <w:r w:rsidRPr="00157327">
        <w:rPr>
          <w:rFonts w:ascii="Arial" w:hAnsi="Arial" w:cs="Arial"/>
        </w:rPr>
        <w:t xml:space="preserve"> il Comune di </w:t>
      </w:r>
      <w:r w:rsidR="008821FC" w:rsidRPr="00157327">
        <w:rPr>
          <w:rFonts w:ascii="Arial" w:hAnsi="Arial" w:cs="Arial"/>
        </w:rPr>
        <w:t>Gerenzago</w:t>
      </w:r>
      <w:r w:rsidRPr="00157327">
        <w:rPr>
          <w:rFonts w:ascii="Arial" w:hAnsi="Arial" w:cs="Arial"/>
        </w:rPr>
        <w:t xml:space="preserve">. ha riscosso la somma di € </w:t>
      </w:r>
      <w:r w:rsidR="008821FC" w:rsidRPr="00157327">
        <w:rPr>
          <w:rFonts w:ascii="Arial" w:hAnsi="Arial" w:cs="Arial"/>
        </w:rPr>
        <w:t>1.978,84</w:t>
      </w:r>
      <w:r w:rsidRPr="00157327">
        <w:rPr>
          <w:rFonts w:ascii="Arial" w:hAnsi="Arial" w:cs="Arial"/>
        </w:rPr>
        <w:t>, come da prospetto</w:t>
      </w:r>
      <w:r w:rsidR="008821FC" w:rsidRPr="00157327">
        <w:rPr>
          <w:rFonts w:ascii="Arial" w:hAnsi="Arial" w:cs="Arial"/>
        </w:rPr>
        <w:t xml:space="preserve"> di cui sopra</w:t>
      </w:r>
      <w:r w:rsidRPr="00157327">
        <w:rPr>
          <w:rFonts w:ascii="Arial" w:hAnsi="Arial" w:cs="Arial"/>
        </w:rPr>
        <w:t>;</w:t>
      </w:r>
    </w:p>
    <w:p w:rsidR="002C6647" w:rsidRPr="00157327" w:rsidRDefault="002C6647" w:rsidP="002C6647">
      <w:pPr>
        <w:pStyle w:val="NormaleWeb"/>
        <w:jc w:val="both"/>
        <w:rPr>
          <w:rFonts w:ascii="Arial" w:hAnsi="Arial" w:cs="Arial"/>
        </w:rPr>
      </w:pPr>
      <w:r>
        <w:rPr>
          <w:rFonts w:ascii="Arial" w:hAnsi="Arial" w:cs="Arial"/>
        </w:rPr>
        <w:t xml:space="preserve">3) di </w:t>
      </w:r>
      <w:r w:rsidR="008821FC">
        <w:rPr>
          <w:rFonts w:ascii="Arial" w:hAnsi="Arial" w:cs="Arial"/>
        </w:rPr>
        <w:t>dare</w:t>
      </w:r>
      <w:r>
        <w:rPr>
          <w:rFonts w:ascii="Arial" w:hAnsi="Arial" w:cs="Arial"/>
        </w:rPr>
        <w:t xml:space="preserve"> atto che, i diritti di rogito riscossi per un importo di € </w:t>
      </w:r>
      <w:r w:rsidR="008821FC" w:rsidRPr="008821FC">
        <w:rPr>
          <w:rFonts w:ascii="Arial" w:hAnsi="Arial" w:cs="Arial"/>
        </w:rPr>
        <w:t>1.978,</w:t>
      </w:r>
      <w:r w:rsidR="00157327" w:rsidRPr="008821FC">
        <w:rPr>
          <w:rFonts w:ascii="Arial" w:hAnsi="Arial" w:cs="Arial"/>
        </w:rPr>
        <w:t xml:space="preserve">84 </w:t>
      </w:r>
      <w:r w:rsidR="00157327">
        <w:rPr>
          <w:rFonts w:ascii="Arial" w:hAnsi="Arial" w:cs="Arial"/>
        </w:rPr>
        <w:t>(</w:t>
      </w:r>
      <w:r>
        <w:rPr>
          <w:rFonts w:ascii="Arial" w:hAnsi="Arial" w:cs="Arial"/>
        </w:rPr>
        <w:t>al lordo dei contributi previdenziali pari al 23,8% e IRAP 8,5%, da scorporare) possono essere liquidati in toto al Segretario comunale dott</w:t>
      </w:r>
      <w:r w:rsidR="008821FC">
        <w:rPr>
          <w:rFonts w:ascii="Arial" w:hAnsi="Arial" w:cs="Arial"/>
        </w:rPr>
        <w:t>.ssa Salvina Venezia</w:t>
      </w:r>
      <w:r>
        <w:rPr>
          <w:rFonts w:ascii="Arial" w:hAnsi="Arial" w:cs="Arial"/>
        </w:rPr>
        <w:t xml:space="preserve"> perché contenuti nel limite di un quinto dello stipendio in godimento;</w:t>
      </w:r>
    </w:p>
    <w:p w:rsidR="008821FC" w:rsidRDefault="002C6647" w:rsidP="002C6647">
      <w:pPr>
        <w:pStyle w:val="NormaleWeb"/>
        <w:jc w:val="both"/>
        <w:rPr>
          <w:rFonts w:ascii="Arial" w:hAnsi="Arial" w:cs="Arial"/>
        </w:rPr>
      </w:pPr>
      <w:r>
        <w:rPr>
          <w:rFonts w:ascii="Arial" w:hAnsi="Arial" w:cs="Arial"/>
        </w:rPr>
        <w:t xml:space="preserve">4) di procedere </w:t>
      </w:r>
      <w:r w:rsidR="008821FC">
        <w:rPr>
          <w:rFonts w:ascii="Arial" w:hAnsi="Arial" w:cs="Arial"/>
        </w:rPr>
        <w:t xml:space="preserve">pertanto </w:t>
      </w:r>
      <w:r>
        <w:rPr>
          <w:rFonts w:ascii="Arial" w:hAnsi="Arial" w:cs="Arial"/>
        </w:rPr>
        <w:t xml:space="preserve">alla liquidazione delle somme corrispondenti ai diritti di rogito </w:t>
      </w:r>
      <w:r w:rsidR="008821FC">
        <w:rPr>
          <w:rFonts w:ascii="Arial" w:hAnsi="Arial" w:cs="Arial"/>
        </w:rPr>
        <w:t xml:space="preserve">anno </w:t>
      </w:r>
      <w:r>
        <w:rPr>
          <w:rFonts w:ascii="Arial" w:hAnsi="Arial" w:cs="Arial"/>
        </w:rPr>
        <w:t>201</w:t>
      </w:r>
      <w:r w:rsidR="008821FC">
        <w:rPr>
          <w:rFonts w:ascii="Arial" w:hAnsi="Arial" w:cs="Arial"/>
        </w:rPr>
        <w:t>7</w:t>
      </w:r>
      <w:r>
        <w:rPr>
          <w:rFonts w:ascii="Arial" w:hAnsi="Arial" w:cs="Arial"/>
        </w:rPr>
        <w:t xml:space="preserve"> al Segretario dott.</w:t>
      </w:r>
      <w:r w:rsidR="008821FC">
        <w:rPr>
          <w:rFonts w:ascii="Arial" w:hAnsi="Arial" w:cs="Arial"/>
        </w:rPr>
        <w:t xml:space="preserve">ssa Salvina Venezia </w:t>
      </w:r>
      <w:r>
        <w:rPr>
          <w:rFonts w:ascii="Arial" w:hAnsi="Arial" w:cs="Arial"/>
        </w:rPr>
        <w:t xml:space="preserve">per l’importo di € </w:t>
      </w:r>
      <w:r w:rsidR="008821FC" w:rsidRPr="008821FC">
        <w:rPr>
          <w:rFonts w:ascii="Arial" w:hAnsi="Arial" w:cs="Arial"/>
        </w:rPr>
        <w:t>1.978,84 (al lordo dei contributi previdenziali pari al 23,8% e IRAP 8,5%, da scorporare)</w:t>
      </w:r>
      <w:r w:rsidR="00157327">
        <w:rPr>
          <w:rFonts w:ascii="Arial" w:hAnsi="Arial" w:cs="Arial"/>
        </w:rPr>
        <w:t>;</w:t>
      </w:r>
    </w:p>
    <w:p w:rsidR="002C6647" w:rsidRPr="00157327" w:rsidRDefault="00157327" w:rsidP="00157327">
      <w:pPr>
        <w:pStyle w:val="NormaleWeb"/>
        <w:jc w:val="both"/>
        <w:rPr>
          <w:rFonts w:ascii="Arial" w:hAnsi="Arial" w:cs="Arial"/>
        </w:rPr>
      </w:pPr>
      <w:r>
        <w:rPr>
          <w:rFonts w:ascii="Arial" w:hAnsi="Arial" w:cs="Arial"/>
        </w:rPr>
        <w:t>5</w:t>
      </w:r>
      <w:r w:rsidR="002C6647">
        <w:rPr>
          <w:rFonts w:ascii="Arial" w:hAnsi="Arial" w:cs="Arial"/>
        </w:rPr>
        <w:t xml:space="preserve">) di impegnare a tal fine, nel rispetto delle modalità previste dal principio applicato della contabilità finanziaria di cui all’allegato n. 4.2 del decreto legislativo n. 118/2011 e ss. mm., la somma complessiva di € </w:t>
      </w:r>
      <w:r w:rsidRPr="00157327">
        <w:rPr>
          <w:rFonts w:ascii="Arial" w:hAnsi="Arial" w:cs="Arial"/>
        </w:rPr>
        <w:t>1.978,84</w:t>
      </w:r>
      <w:r>
        <w:rPr>
          <w:rFonts w:ascii="Arial" w:hAnsi="Arial" w:cs="Arial"/>
        </w:rPr>
        <w:t xml:space="preserve"> al capitolo</w:t>
      </w:r>
      <w:r w:rsidRPr="00157327">
        <w:rPr>
          <w:rFonts w:ascii="Arial" w:hAnsi="Arial" w:cs="Arial"/>
        </w:rPr>
        <w:t xml:space="preserve"> </w:t>
      </w:r>
      <w:r w:rsidRPr="00157327">
        <w:rPr>
          <w:rFonts w:ascii="Arial" w:hAnsi="Arial" w:cs="Arial"/>
        </w:rPr>
        <w:t>160/</w:t>
      </w:r>
      <w:r>
        <w:rPr>
          <w:rFonts w:ascii="Arial" w:hAnsi="Arial" w:cs="Arial"/>
        </w:rPr>
        <w:t>6</w:t>
      </w:r>
      <w:r w:rsidRPr="00157327">
        <w:rPr>
          <w:rFonts w:ascii="Arial" w:hAnsi="Arial" w:cs="Arial"/>
        </w:rPr>
        <w:t>5/1 Redditi da lavoro dipendente / QUOTA DIRITTI DI SEGRETERIA SPETTANTI AL</w:t>
      </w:r>
      <w:r>
        <w:rPr>
          <w:rFonts w:ascii="Arial" w:hAnsi="Arial" w:cs="Arial"/>
        </w:rPr>
        <w:t xml:space="preserve"> </w:t>
      </w:r>
      <w:r w:rsidRPr="00157327">
        <w:rPr>
          <w:rFonts w:ascii="Arial" w:hAnsi="Arial" w:cs="Arial"/>
        </w:rPr>
        <w:t>SEGRETARIO COMUNALE</w:t>
      </w:r>
      <w:r>
        <w:rPr>
          <w:rFonts w:ascii="Arial" w:hAnsi="Arial" w:cs="Arial"/>
        </w:rPr>
        <w:t xml:space="preserve"> del Bilancio di previsione 2017/2019 – annualità 2017,</w:t>
      </w:r>
      <w:r w:rsidR="002C6647">
        <w:rPr>
          <w:rFonts w:ascii="Arial" w:hAnsi="Arial" w:cs="Arial"/>
        </w:rPr>
        <w:t xml:space="preserve"> in considerazione della esigibilità della medesima</w:t>
      </w:r>
      <w:r>
        <w:rPr>
          <w:rFonts w:ascii="Arial" w:hAnsi="Arial" w:cs="Arial"/>
        </w:rPr>
        <w:t>;</w:t>
      </w:r>
    </w:p>
    <w:p w:rsidR="00157327" w:rsidRPr="00157327" w:rsidRDefault="00157327" w:rsidP="00157327">
      <w:pPr>
        <w:jc w:val="both"/>
        <w:rPr>
          <w:rFonts w:ascii="Arial" w:eastAsia="Times New Roman" w:hAnsi="Arial" w:cs="Arial"/>
          <w:sz w:val="24"/>
          <w:szCs w:val="24"/>
          <w:lang w:eastAsia="it-IT"/>
        </w:rPr>
      </w:pPr>
      <w:proofErr w:type="gramStart"/>
      <w:r>
        <w:rPr>
          <w:rFonts w:ascii="Arial" w:eastAsia="Times New Roman" w:hAnsi="Arial" w:cs="Arial"/>
          <w:sz w:val="24"/>
          <w:szCs w:val="24"/>
          <w:lang w:eastAsia="it-IT"/>
        </w:rPr>
        <w:t>6)</w:t>
      </w:r>
      <w:r w:rsidRPr="00157327">
        <w:rPr>
          <w:rFonts w:ascii="Arial" w:eastAsia="Times New Roman" w:hAnsi="Arial" w:cs="Arial"/>
          <w:sz w:val="24"/>
          <w:szCs w:val="24"/>
          <w:lang w:eastAsia="it-IT"/>
        </w:rPr>
        <w:t>.Di</w:t>
      </w:r>
      <w:proofErr w:type="gramEnd"/>
      <w:r w:rsidRPr="00157327">
        <w:rPr>
          <w:rFonts w:ascii="Arial" w:eastAsia="Times New Roman" w:hAnsi="Arial" w:cs="Arial"/>
          <w:sz w:val="24"/>
          <w:szCs w:val="24"/>
          <w:lang w:eastAsia="it-IT"/>
        </w:rPr>
        <w:t xml:space="preserve"> pubblicare la presente determinazione nell’apposita sezione “Amministrazione</w:t>
      </w:r>
      <w:r>
        <w:rPr>
          <w:rFonts w:ascii="Arial" w:eastAsia="Times New Roman" w:hAnsi="Arial" w:cs="Arial"/>
          <w:sz w:val="24"/>
          <w:szCs w:val="24"/>
          <w:lang w:eastAsia="it-IT"/>
        </w:rPr>
        <w:t xml:space="preserve"> </w:t>
      </w:r>
      <w:r w:rsidRPr="00157327">
        <w:rPr>
          <w:rFonts w:ascii="Arial" w:eastAsia="Times New Roman" w:hAnsi="Arial" w:cs="Arial"/>
          <w:sz w:val="24"/>
          <w:szCs w:val="24"/>
          <w:lang w:eastAsia="it-IT"/>
        </w:rPr>
        <w:t>Trasparente” del sito istituzionale.</w:t>
      </w: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Il Responsabile dell’Ufficio Finanziario</w:t>
      </w: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Daniele Mandrini</w:t>
      </w:r>
    </w:p>
    <w:p w:rsidR="00157327" w:rsidRPr="00157327" w:rsidRDefault="00157327" w:rsidP="00157327">
      <w:pPr>
        <w:rPr>
          <w:rFonts w:ascii="Arial" w:eastAsia="Times New Roman" w:hAnsi="Arial" w:cs="Arial"/>
          <w:sz w:val="24"/>
          <w:szCs w:val="24"/>
          <w:lang w:eastAsia="it-IT"/>
        </w:rPr>
      </w:pP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w:t>
      </w:r>
    </w:p>
    <w:p w:rsidR="00157327" w:rsidRPr="00157327" w:rsidRDefault="00157327" w:rsidP="00157327">
      <w:pPr>
        <w:rPr>
          <w:rFonts w:ascii="Arial" w:eastAsia="Times New Roman" w:hAnsi="Arial" w:cs="Arial"/>
          <w:sz w:val="24"/>
          <w:szCs w:val="24"/>
          <w:lang w:eastAsia="it-IT"/>
        </w:rPr>
      </w:pP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SERVIZIO FINANZIARIO</w:t>
      </w:r>
    </w:p>
    <w:p w:rsidR="00157327" w:rsidRPr="00157327" w:rsidRDefault="00157327" w:rsidP="00157327">
      <w:pPr>
        <w:jc w:val="both"/>
        <w:rPr>
          <w:rFonts w:ascii="Arial" w:eastAsia="Times New Roman" w:hAnsi="Arial" w:cs="Arial"/>
          <w:sz w:val="24"/>
          <w:szCs w:val="24"/>
          <w:lang w:eastAsia="it-IT"/>
        </w:rPr>
      </w:pPr>
      <w:r w:rsidRPr="00157327">
        <w:rPr>
          <w:rFonts w:ascii="Arial" w:eastAsia="Times New Roman" w:hAnsi="Arial" w:cs="Arial"/>
          <w:sz w:val="24"/>
          <w:szCs w:val="24"/>
          <w:lang w:eastAsia="it-IT"/>
        </w:rPr>
        <w:t>Vista la Deliberazione di G.C. n. 61 del 10.06.2014, con la quale è stata attribuita la competenza si appone:</w:t>
      </w:r>
    </w:p>
    <w:p w:rsidR="00157327" w:rsidRPr="00157327" w:rsidRDefault="00157327" w:rsidP="00157327">
      <w:pPr>
        <w:jc w:val="both"/>
        <w:rPr>
          <w:rFonts w:ascii="Arial" w:eastAsia="Times New Roman" w:hAnsi="Arial" w:cs="Arial"/>
          <w:sz w:val="24"/>
          <w:szCs w:val="24"/>
          <w:lang w:eastAsia="it-IT"/>
        </w:rPr>
      </w:pPr>
      <w:r w:rsidRPr="00157327">
        <w:rPr>
          <w:rFonts w:ascii="Arial" w:eastAsia="Times New Roman" w:hAnsi="Arial" w:cs="Arial"/>
          <w:sz w:val="24"/>
          <w:szCs w:val="24"/>
          <w:lang w:eastAsia="it-IT"/>
        </w:rPr>
        <w:t>-</w:t>
      </w:r>
      <w:r w:rsidRPr="00157327">
        <w:rPr>
          <w:rFonts w:ascii="Arial" w:eastAsia="Times New Roman" w:hAnsi="Arial" w:cs="Arial"/>
          <w:sz w:val="24"/>
          <w:szCs w:val="24"/>
          <w:lang w:eastAsia="it-IT"/>
        </w:rPr>
        <w:tab/>
        <w:t xml:space="preserve">parere favorevole in ordine alla regolarità tecnica e contabile, ai sensi dell’art. 147 bis del TUEL n. 267/2000 e </w:t>
      </w:r>
      <w:proofErr w:type="spellStart"/>
      <w:r w:rsidRPr="00157327">
        <w:rPr>
          <w:rFonts w:ascii="Arial" w:eastAsia="Times New Roman" w:hAnsi="Arial" w:cs="Arial"/>
          <w:sz w:val="24"/>
          <w:szCs w:val="24"/>
          <w:lang w:eastAsia="it-IT"/>
        </w:rPr>
        <w:t>s.m.i.</w:t>
      </w:r>
      <w:proofErr w:type="spellEnd"/>
      <w:r w:rsidRPr="00157327">
        <w:rPr>
          <w:rFonts w:ascii="Arial" w:eastAsia="Times New Roman" w:hAnsi="Arial" w:cs="Arial"/>
          <w:sz w:val="24"/>
          <w:szCs w:val="24"/>
          <w:lang w:eastAsia="it-IT"/>
        </w:rPr>
        <w:t>;</w:t>
      </w:r>
    </w:p>
    <w:p w:rsidR="00157327" w:rsidRPr="00157327" w:rsidRDefault="00157327" w:rsidP="00157327">
      <w:pPr>
        <w:jc w:val="both"/>
        <w:rPr>
          <w:rFonts w:ascii="Arial" w:eastAsia="Times New Roman" w:hAnsi="Arial" w:cs="Arial"/>
          <w:sz w:val="24"/>
          <w:szCs w:val="24"/>
          <w:lang w:eastAsia="it-IT"/>
        </w:rPr>
      </w:pPr>
      <w:r w:rsidRPr="00157327">
        <w:rPr>
          <w:rFonts w:ascii="Arial" w:eastAsia="Times New Roman" w:hAnsi="Arial" w:cs="Arial"/>
          <w:sz w:val="24"/>
          <w:szCs w:val="24"/>
          <w:lang w:eastAsia="it-IT"/>
        </w:rPr>
        <w:t>-</w:t>
      </w:r>
      <w:r w:rsidRPr="00157327">
        <w:rPr>
          <w:rFonts w:ascii="Arial" w:eastAsia="Times New Roman" w:hAnsi="Arial" w:cs="Arial"/>
          <w:sz w:val="24"/>
          <w:szCs w:val="24"/>
          <w:lang w:eastAsia="it-IT"/>
        </w:rPr>
        <w:tab/>
        <w:t xml:space="preserve"> visto di regolarità contabile attestante la copertura finanziaria della spesa cui si riferisce, ai sensi dell’art. 183 comma </w:t>
      </w:r>
      <w:proofErr w:type="gramStart"/>
      <w:r w:rsidRPr="00157327">
        <w:rPr>
          <w:rFonts w:ascii="Arial" w:eastAsia="Times New Roman" w:hAnsi="Arial" w:cs="Arial"/>
          <w:sz w:val="24"/>
          <w:szCs w:val="24"/>
          <w:lang w:eastAsia="it-IT"/>
        </w:rPr>
        <w:t>7  del</w:t>
      </w:r>
      <w:proofErr w:type="gramEnd"/>
      <w:r w:rsidRPr="00157327">
        <w:rPr>
          <w:rFonts w:ascii="Arial" w:eastAsia="Times New Roman" w:hAnsi="Arial" w:cs="Arial"/>
          <w:sz w:val="24"/>
          <w:szCs w:val="24"/>
          <w:lang w:eastAsia="it-IT"/>
        </w:rPr>
        <w:t xml:space="preserve"> D. </w:t>
      </w:r>
      <w:proofErr w:type="spellStart"/>
      <w:r w:rsidRPr="00157327">
        <w:rPr>
          <w:rFonts w:ascii="Arial" w:eastAsia="Times New Roman" w:hAnsi="Arial" w:cs="Arial"/>
          <w:sz w:val="24"/>
          <w:szCs w:val="24"/>
          <w:lang w:eastAsia="it-IT"/>
        </w:rPr>
        <w:t>Lgs</w:t>
      </w:r>
      <w:proofErr w:type="spellEnd"/>
      <w:r w:rsidRPr="00157327">
        <w:rPr>
          <w:rFonts w:ascii="Arial" w:eastAsia="Times New Roman" w:hAnsi="Arial" w:cs="Arial"/>
          <w:sz w:val="24"/>
          <w:szCs w:val="24"/>
          <w:lang w:eastAsia="it-IT"/>
        </w:rPr>
        <w:t xml:space="preserve">. 18 agosto 2000, n. 267 e </w:t>
      </w:r>
      <w:proofErr w:type="spellStart"/>
      <w:r w:rsidRPr="00157327">
        <w:rPr>
          <w:rFonts w:ascii="Arial" w:eastAsia="Times New Roman" w:hAnsi="Arial" w:cs="Arial"/>
          <w:sz w:val="24"/>
          <w:szCs w:val="24"/>
          <w:lang w:eastAsia="it-IT"/>
        </w:rPr>
        <w:t>s.m.i.</w:t>
      </w:r>
      <w:proofErr w:type="spellEnd"/>
    </w:p>
    <w:p w:rsidR="00157327" w:rsidRPr="00157327" w:rsidRDefault="00157327" w:rsidP="00157327">
      <w:pPr>
        <w:jc w:val="center"/>
        <w:rPr>
          <w:rFonts w:ascii="Arial" w:eastAsia="Times New Roman" w:hAnsi="Arial" w:cs="Arial"/>
          <w:sz w:val="24"/>
          <w:szCs w:val="24"/>
          <w:lang w:eastAsia="it-IT"/>
        </w:rPr>
      </w:pP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 xml:space="preserve">Gerenzago, lì </w:t>
      </w:r>
      <w:r>
        <w:rPr>
          <w:rFonts w:ascii="Arial" w:eastAsia="Times New Roman" w:hAnsi="Arial" w:cs="Arial"/>
          <w:sz w:val="24"/>
          <w:szCs w:val="24"/>
          <w:lang w:eastAsia="it-IT"/>
        </w:rPr>
        <w:t>14</w:t>
      </w:r>
      <w:r w:rsidRPr="00157327">
        <w:rPr>
          <w:rFonts w:ascii="Arial" w:eastAsia="Times New Roman" w:hAnsi="Arial" w:cs="Arial"/>
          <w:sz w:val="24"/>
          <w:szCs w:val="24"/>
          <w:lang w:eastAsia="it-IT"/>
        </w:rPr>
        <w:t>.1</w:t>
      </w:r>
      <w:r>
        <w:rPr>
          <w:rFonts w:ascii="Arial" w:eastAsia="Times New Roman" w:hAnsi="Arial" w:cs="Arial"/>
          <w:sz w:val="24"/>
          <w:szCs w:val="24"/>
          <w:lang w:eastAsia="it-IT"/>
        </w:rPr>
        <w:t>2</w:t>
      </w:r>
      <w:r w:rsidRPr="00157327">
        <w:rPr>
          <w:rFonts w:ascii="Arial" w:eastAsia="Times New Roman" w:hAnsi="Arial" w:cs="Arial"/>
          <w:sz w:val="24"/>
          <w:szCs w:val="24"/>
          <w:lang w:eastAsia="it-IT"/>
        </w:rPr>
        <w:t>.2017</w:t>
      </w:r>
    </w:p>
    <w:p w:rsidR="00157327"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IL RESPONSABILE DEL SERVIZIO FINANZIARIO</w:t>
      </w:r>
    </w:p>
    <w:p w:rsidR="00AB70C3" w:rsidRPr="00157327" w:rsidRDefault="00157327" w:rsidP="00157327">
      <w:pPr>
        <w:jc w:val="center"/>
        <w:rPr>
          <w:rFonts w:ascii="Arial" w:eastAsia="Times New Roman" w:hAnsi="Arial" w:cs="Arial"/>
          <w:sz w:val="24"/>
          <w:szCs w:val="24"/>
          <w:lang w:eastAsia="it-IT"/>
        </w:rPr>
      </w:pPr>
      <w:r w:rsidRPr="00157327">
        <w:rPr>
          <w:rFonts w:ascii="Arial" w:eastAsia="Times New Roman" w:hAnsi="Arial" w:cs="Arial"/>
          <w:sz w:val="24"/>
          <w:szCs w:val="24"/>
          <w:lang w:eastAsia="it-IT"/>
        </w:rPr>
        <w:t>Daniele Mandrini</w:t>
      </w:r>
    </w:p>
    <w:sectPr w:rsidR="00AB70C3" w:rsidRPr="001573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658BC"/>
    <w:multiLevelType w:val="multilevel"/>
    <w:tmpl w:val="E86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47"/>
    <w:rsid w:val="00157327"/>
    <w:rsid w:val="002275F3"/>
    <w:rsid w:val="002C6647"/>
    <w:rsid w:val="008821FC"/>
    <w:rsid w:val="00A646BA"/>
    <w:rsid w:val="00AB7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65A2"/>
  <w15:chartTrackingRefBased/>
  <w15:docId w15:val="{071BFCA3-D98F-4483-83F7-17BA8003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8">
    <w:name w:val="heading 8"/>
    <w:basedOn w:val="Normale"/>
    <w:next w:val="Normale"/>
    <w:link w:val="Titolo8Carattere"/>
    <w:uiPriority w:val="9"/>
    <w:semiHidden/>
    <w:unhideWhenUsed/>
    <w:qFormat/>
    <w:rsid w:val="002C6647"/>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6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C6647"/>
    <w:rPr>
      <w:i/>
      <w:iCs/>
    </w:rPr>
  </w:style>
  <w:style w:type="character" w:customStyle="1" w:styleId="Titolo8Carattere">
    <w:name w:val="Titolo 8 Carattere"/>
    <w:basedOn w:val="Carpredefinitoparagrafo"/>
    <w:link w:val="Titolo8"/>
    <w:uiPriority w:val="9"/>
    <w:semiHidden/>
    <w:rsid w:val="002C6647"/>
    <w:rPr>
      <w:rFonts w:asciiTheme="majorHAnsi" w:eastAsiaTheme="majorEastAsia" w:hAnsiTheme="majorHAnsi" w:cstheme="majorBidi"/>
      <w:color w:val="272727" w:themeColor="text1" w:themeTint="D8"/>
      <w:sz w:val="21"/>
      <w:szCs w:val="21"/>
      <w:lang w:val="en-US"/>
    </w:rPr>
  </w:style>
  <w:style w:type="paragraph" w:styleId="Corpotesto">
    <w:name w:val="Body Text"/>
    <w:basedOn w:val="Normale"/>
    <w:link w:val="CorpotestoCarattere"/>
    <w:uiPriority w:val="1"/>
    <w:qFormat/>
    <w:rsid w:val="002C6647"/>
    <w:pPr>
      <w:widowControl w:val="0"/>
      <w:autoSpaceDE w:val="0"/>
      <w:autoSpaceDN w:val="0"/>
      <w:spacing w:after="0" w:line="240" w:lineRule="auto"/>
    </w:pPr>
    <w:rPr>
      <w:rFonts w:ascii="Century Gothic" w:eastAsia="Century Gothic" w:hAnsi="Century Gothic" w:cs="Century Gothic"/>
      <w:sz w:val="20"/>
      <w:szCs w:val="20"/>
      <w:lang w:val="en-US"/>
    </w:rPr>
  </w:style>
  <w:style w:type="character" w:customStyle="1" w:styleId="CorpotestoCarattere">
    <w:name w:val="Corpo testo Carattere"/>
    <w:basedOn w:val="Carpredefinitoparagrafo"/>
    <w:link w:val="Corpotesto"/>
    <w:uiPriority w:val="1"/>
    <w:rsid w:val="002C6647"/>
    <w:rPr>
      <w:rFonts w:ascii="Century Gothic" w:eastAsia="Century Gothic" w:hAnsi="Century Gothic" w:cs="Century Gothic"/>
      <w:sz w:val="20"/>
      <w:szCs w:val="20"/>
      <w:lang w:val="en-US"/>
    </w:rPr>
  </w:style>
  <w:style w:type="paragraph" w:styleId="Titolo">
    <w:name w:val="Title"/>
    <w:basedOn w:val="Normale"/>
    <w:link w:val="TitoloCarattere"/>
    <w:qFormat/>
    <w:rsid w:val="002C6647"/>
    <w:pPr>
      <w:spacing w:after="0" w:line="240" w:lineRule="auto"/>
      <w:jc w:val="center"/>
    </w:pPr>
    <w:rPr>
      <w:rFonts w:ascii="Century Gothic" w:eastAsia="Times New Roman" w:hAnsi="Century Gothic" w:cs="Times New Roman"/>
      <w:b/>
      <w:i/>
      <w:color w:val="000080"/>
      <w:sz w:val="36"/>
      <w:szCs w:val="20"/>
      <w:lang w:eastAsia="it-IT"/>
    </w:rPr>
  </w:style>
  <w:style w:type="character" w:customStyle="1" w:styleId="TitoloCarattere">
    <w:name w:val="Titolo Carattere"/>
    <w:basedOn w:val="Carpredefinitoparagrafo"/>
    <w:link w:val="Titolo"/>
    <w:rsid w:val="002C6647"/>
    <w:rPr>
      <w:rFonts w:ascii="Century Gothic" w:eastAsia="Times New Roman" w:hAnsi="Century Gothic" w:cs="Times New Roman"/>
      <w:b/>
      <w:i/>
      <w:color w:val="000080"/>
      <w:sz w:val="36"/>
      <w:szCs w:val="20"/>
      <w:lang w:eastAsia="it-IT"/>
    </w:rPr>
  </w:style>
  <w:style w:type="table" w:styleId="Grigliatabella">
    <w:name w:val="Table Grid"/>
    <w:basedOn w:val="Tabellanormale"/>
    <w:uiPriority w:val="39"/>
    <w:rsid w:val="002C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573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1215</Words>
  <Characters>6931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segretario.comunale</cp:lastModifiedBy>
  <cp:revision>1</cp:revision>
  <cp:lastPrinted>2017-12-14T12:23:00Z</cp:lastPrinted>
  <dcterms:created xsi:type="dcterms:W3CDTF">2017-12-14T11:51:00Z</dcterms:created>
  <dcterms:modified xsi:type="dcterms:W3CDTF">2017-12-14T12:27:00Z</dcterms:modified>
</cp:coreProperties>
</file>