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439" w:rsidRPr="00AE637A" w:rsidRDefault="00FB4439" w:rsidP="00FB4439">
      <w:pPr>
        <w:pStyle w:val="Titolo"/>
        <w:ind w:left="142"/>
        <w:rPr>
          <w:rFonts w:eastAsia="Century Gothic" w:cs="Century Gothic"/>
          <w:i w:val="0"/>
          <w:color w:val="1F497D" w:themeColor="text2"/>
          <w:sz w:val="24"/>
          <w:lang w:eastAsia="en-US"/>
        </w:rPr>
      </w:pPr>
      <w:r w:rsidRPr="00AE637A">
        <w:rPr>
          <w:rFonts w:eastAsia="Century Gothic" w:cs="Century Gothic"/>
          <w:i w:val="0"/>
          <w:color w:val="1F497D" w:themeColor="text2"/>
          <w:sz w:val="24"/>
          <w:lang w:eastAsia="en-US"/>
        </w:rPr>
        <w:t>COMUNE DI GERENZAGO</w:t>
      </w:r>
    </w:p>
    <w:p w:rsidR="00FB4439" w:rsidRPr="00AE637A" w:rsidRDefault="00FB4439" w:rsidP="00FB4439">
      <w:pPr>
        <w:ind w:left="142"/>
        <w:jc w:val="center"/>
        <w:rPr>
          <w:b/>
          <w:color w:val="1F497D" w:themeColor="text2"/>
          <w:sz w:val="24"/>
          <w:szCs w:val="20"/>
          <w:lang w:val="it-IT"/>
        </w:rPr>
      </w:pPr>
      <w:r w:rsidRPr="00AE637A">
        <w:rPr>
          <w:b/>
          <w:color w:val="1F497D" w:themeColor="text2"/>
          <w:sz w:val="24"/>
          <w:szCs w:val="20"/>
          <w:lang w:val="it-IT"/>
        </w:rPr>
        <w:t>PROVINCIA DI PAVIA</w:t>
      </w:r>
    </w:p>
    <w:p w:rsidR="00FB4439" w:rsidRPr="00AE637A" w:rsidRDefault="00FB4439" w:rsidP="00FB4439">
      <w:pPr>
        <w:pStyle w:val="Titolo8"/>
        <w:ind w:left="142"/>
        <w:jc w:val="center"/>
        <w:rPr>
          <w:rFonts w:ascii="Century Gothic" w:eastAsia="Century Gothic" w:hAnsi="Century Gothic" w:cs="Century Gothic"/>
          <w:b/>
          <w:color w:val="1F497D" w:themeColor="text2"/>
          <w:sz w:val="24"/>
          <w:szCs w:val="20"/>
          <w:lang w:val="it-IT"/>
        </w:rPr>
      </w:pPr>
      <w:r w:rsidRPr="00AE637A">
        <w:rPr>
          <w:rFonts w:ascii="Century Gothic" w:eastAsia="Century Gothic" w:hAnsi="Century Gothic" w:cs="Century Gothic"/>
          <w:b/>
          <w:color w:val="1F497D" w:themeColor="text2"/>
          <w:sz w:val="24"/>
          <w:szCs w:val="20"/>
          <w:lang w:val="it-IT"/>
        </w:rPr>
        <w:t>Via XXV aprile, 17 - CAP. 27010</w:t>
      </w:r>
    </w:p>
    <w:p w:rsidR="00FB4439" w:rsidRPr="00AE637A" w:rsidRDefault="00FB4439" w:rsidP="00FB4439">
      <w:pPr>
        <w:ind w:left="142"/>
        <w:jc w:val="center"/>
        <w:rPr>
          <w:sz w:val="24"/>
          <w:szCs w:val="20"/>
          <w:lang w:val="it-IT"/>
        </w:rPr>
      </w:pPr>
    </w:p>
    <w:p w:rsidR="00FB4439" w:rsidRPr="00AE637A" w:rsidRDefault="00FB4439" w:rsidP="00FB4439">
      <w:pPr>
        <w:ind w:left="142"/>
        <w:jc w:val="center"/>
        <w:rPr>
          <w:sz w:val="24"/>
          <w:szCs w:val="20"/>
          <w:lang w:val="it-IT"/>
        </w:rPr>
      </w:pPr>
      <w:r w:rsidRPr="00AE637A">
        <w:rPr>
          <w:sz w:val="24"/>
          <w:szCs w:val="20"/>
          <w:lang w:val="it-IT"/>
        </w:rPr>
        <w:t>DETERMINAZIONE del  Responsabile  Servizio  Finanziario</w:t>
      </w:r>
    </w:p>
    <w:p w:rsidR="00FB4439" w:rsidRPr="00AE637A" w:rsidRDefault="00FB4439" w:rsidP="00FB4439">
      <w:pPr>
        <w:ind w:left="142"/>
        <w:jc w:val="center"/>
        <w:rPr>
          <w:sz w:val="24"/>
          <w:szCs w:val="20"/>
          <w:lang w:val="it-IT"/>
        </w:rPr>
      </w:pPr>
      <w:r w:rsidRPr="00AE637A">
        <w:rPr>
          <w:sz w:val="24"/>
          <w:szCs w:val="20"/>
          <w:lang w:val="it-IT"/>
        </w:rPr>
        <w:t xml:space="preserve">N.  104  del  09/11/2017 </w:t>
      </w:r>
    </w:p>
    <w:p w:rsidR="00FB4439" w:rsidRPr="00AE637A" w:rsidRDefault="00FB4439" w:rsidP="002B0FDC">
      <w:pPr>
        <w:rPr>
          <w:sz w:val="24"/>
          <w:szCs w:val="20"/>
          <w:lang w:val="it-IT"/>
        </w:rPr>
      </w:pPr>
    </w:p>
    <w:p w:rsidR="00FB4439" w:rsidRPr="00AE637A" w:rsidRDefault="00FB4439" w:rsidP="00FB4439">
      <w:pPr>
        <w:ind w:left="142"/>
        <w:rPr>
          <w:sz w:val="24"/>
          <w:szCs w:val="20"/>
          <w:lang w:val="it-IT"/>
        </w:rPr>
      </w:pPr>
    </w:p>
    <w:p w:rsidR="00FB4439" w:rsidRPr="00AE637A" w:rsidRDefault="00FB4439" w:rsidP="00FB4439">
      <w:pPr>
        <w:spacing w:line="237" w:lineRule="auto"/>
        <w:ind w:left="142" w:right="497"/>
        <w:rPr>
          <w:b/>
          <w:sz w:val="24"/>
          <w:szCs w:val="20"/>
          <w:lang w:val="it-IT"/>
        </w:rPr>
      </w:pPr>
      <w:r w:rsidRPr="00AE637A">
        <w:rPr>
          <w:b/>
          <w:sz w:val="24"/>
          <w:szCs w:val="20"/>
          <w:lang w:val="it-IT"/>
        </w:rPr>
        <w:t>OGGETTO: LIQUIDAZIONE GETTONI DI PRESENZA AI CONSIGLIERI COMUNALI ANNO 2016</w:t>
      </w:r>
    </w:p>
    <w:p w:rsidR="009B0076" w:rsidRPr="00AE637A" w:rsidRDefault="009B0076" w:rsidP="00FB4439">
      <w:pPr>
        <w:pStyle w:val="Corpotesto"/>
        <w:spacing w:before="8"/>
        <w:ind w:left="142"/>
        <w:rPr>
          <w:sz w:val="24"/>
          <w:lang w:val="it-IT"/>
        </w:rPr>
      </w:pPr>
    </w:p>
    <w:p w:rsidR="009B0076" w:rsidRPr="00AE637A" w:rsidRDefault="00AE637A" w:rsidP="00AE637A">
      <w:pPr>
        <w:spacing w:before="58"/>
        <w:ind w:left="142"/>
        <w:jc w:val="center"/>
        <w:rPr>
          <w:b/>
          <w:sz w:val="24"/>
          <w:szCs w:val="20"/>
          <w:lang w:val="it-IT"/>
        </w:rPr>
      </w:pPr>
      <w:r w:rsidRPr="00AE637A">
        <w:rPr>
          <w:b/>
          <w:sz w:val="24"/>
          <w:szCs w:val="20"/>
          <w:lang w:val="it-IT"/>
        </w:rPr>
        <w:t xml:space="preserve">IL RESPONSABILE </w:t>
      </w:r>
      <w:r w:rsidR="00FB4439" w:rsidRPr="00AE637A">
        <w:rPr>
          <w:b/>
          <w:sz w:val="24"/>
          <w:szCs w:val="20"/>
          <w:lang w:val="it-IT"/>
        </w:rPr>
        <w:t>DELL’AREA AMMINISTRATIVA FINANZIARIA</w:t>
      </w:r>
    </w:p>
    <w:p w:rsidR="009B0076" w:rsidRPr="00AE637A" w:rsidRDefault="009B0076" w:rsidP="00FB4439">
      <w:pPr>
        <w:pStyle w:val="Corpotesto"/>
        <w:ind w:left="142"/>
        <w:rPr>
          <w:sz w:val="24"/>
          <w:lang w:val="it-IT"/>
        </w:rPr>
      </w:pPr>
    </w:p>
    <w:p w:rsidR="009B0076" w:rsidRPr="00AE637A" w:rsidRDefault="009B0076" w:rsidP="00FB4439">
      <w:pPr>
        <w:pStyle w:val="Corpotesto"/>
        <w:spacing w:before="11"/>
        <w:ind w:left="142"/>
        <w:rPr>
          <w:sz w:val="24"/>
          <w:lang w:val="it-IT"/>
        </w:rPr>
      </w:pPr>
    </w:p>
    <w:p w:rsidR="009B0076" w:rsidRPr="00AE637A" w:rsidRDefault="00AE637A" w:rsidP="00AE637A">
      <w:pPr>
        <w:pStyle w:val="Corpotesto"/>
        <w:spacing w:before="2"/>
        <w:ind w:left="142" w:right="156"/>
        <w:jc w:val="both"/>
        <w:rPr>
          <w:sz w:val="24"/>
          <w:lang w:val="it-IT"/>
        </w:rPr>
      </w:pPr>
      <w:r w:rsidRPr="00AE637A">
        <w:rPr>
          <w:sz w:val="24"/>
          <w:lang w:val="it-IT"/>
        </w:rPr>
        <w:t xml:space="preserve">Premesso che occorre procedere alla liquidazione ai Consiglieri Comunali </w:t>
      </w:r>
      <w:r w:rsidR="00C375F9" w:rsidRPr="00AE637A">
        <w:rPr>
          <w:sz w:val="24"/>
          <w:lang w:val="it-IT"/>
        </w:rPr>
        <w:t xml:space="preserve">dei gettoni di presenza </w:t>
      </w:r>
      <w:r w:rsidRPr="00AE637A">
        <w:rPr>
          <w:sz w:val="24"/>
          <w:lang w:val="it-IT"/>
        </w:rPr>
        <w:t>per le presenze in Consiglio Comunale per l’anno 2016;</w:t>
      </w:r>
    </w:p>
    <w:p w:rsidR="009B0076" w:rsidRPr="00AE637A" w:rsidRDefault="00AE637A" w:rsidP="00AE637A">
      <w:pPr>
        <w:pStyle w:val="Corpotesto"/>
        <w:spacing w:before="119"/>
        <w:ind w:left="142" w:right="154"/>
        <w:jc w:val="both"/>
        <w:rPr>
          <w:sz w:val="24"/>
          <w:lang w:val="it-IT"/>
        </w:rPr>
      </w:pPr>
      <w:r w:rsidRPr="00AE637A">
        <w:rPr>
          <w:sz w:val="24"/>
          <w:lang w:val="it-IT"/>
        </w:rPr>
        <w:t>Rilevato che le indennità di presenza non spettano agli assessori in quanto agli stessi è stata assegnata l'indennità di funzione, ai sensi dell'art. 23 della legge 265/1999;</w:t>
      </w:r>
    </w:p>
    <w:p w:rsidR="009B0076" w:rsidRPr="00AE637A" w:rsidRDefault="002B0FDC" w:rsidP="00AE637A">
      <w:pPr>
        <w:tabs>
          <w:tab w:val="left" w:pos="1373"/>
        </w:tabs>
        <w:spacing w:before="120"/>
        <w:ind w:left="142" w:right="153"/>
        <w:jc w:val="both"/>
        <w:rPr>
          <w:sz w:val="24"/>
          <w:szCs w:val="20"/>
          <w:lang w:val="it-IT"/>
        </w:rPr>
      </w:pPr>
      <w:r>
        <w:rPr>
          <w:sz w:val="24"/>
          <w:szCs w:val="20"/>
          <w:lang w:val="it-IT"/>
        </w:rPr>
        <w:t>Richiamata</w:t>
      </w:r>
      <w:r w:rsidR="00C375F9" w:rsidRPr="00AE637A">
        <w:rPr>
          <w:sz w:val="24"/>
          <w:szCs w:val="20"/>
          <w:lang w:val="it-IT"/>
        </w:rPr>
        <w:t xml:space="preserve"> </w:t>
      </w:r>
      <w:r w:rsidR="00AE637A" w:rsidRPr="00AE637A">
        <w:rPr>
          <w:sz w:val="24"/>
          <w:szCs w:val="20"/>
          <w:lang w:val="it-IT"/>
        </w:rPr>
        <w:t xml:space="preserve">la deliberazione </w:t>
      </w:r>
      <w:r w:rsidR="00C375F9" w:rsidRPr="00AE637A">
        <w:rPr>
          <w:sz w:val="24"/>
          <w:szCs w:val="20"/>
          <w:lang w:val="it-IT"/>
        </w:rPr>
        <w:t>C.C. n. 19</w:t>
      </w:r>
      <w:r w:rsidR="00AE637A" w:rsidRPr="00AE637A">
        <w:rPr>
          <w:sz w:val="24"/>
          <w:szCs w:val="20"/>
          <w:lang w:val="it-IT"/>
        </w:rPr>
        <w:t xml:space="preserve"> del 09.06.2014</w:t>
      </w:r>
      <w:r w:rsidR="00C375F9" w:rsidRPr="00AE637A">
        <w:rPr>
          <w:sz w:val="24"/>
          <w:szCs w:val="20"/>
          <w:lang w:val="it-IT"/>
        </w:rPr>
        <w:t xml:space="preserve"> “DETERMINAZIONE DEL GETTONE DI PRESENZA PER I CONSIGLIERI COMUNALI PER L’ANNO 2014 – APPLICAZIONE DELLA LEGGE N. 56 DEL 07.04.2014”</w:t>
      </w:r>
      <w:r w:rsidR="00AE637A" w:rsidRPr="00AE637A">
        <w:rPr>
          <w:sz w:val="24"/>
          <w:szCs w:val="20"/>
          <w:lang w:val="it-IT"/>
        </w:rPr>
        <w:t xml:space="preserve"> con la quale</w:t>
      </w:r>
      <w:r w:rsidR="00C375F9" w:rsidRPr="00AE637A">
        <w:rPr>
          <w:sz w:val="24"/>
          <w:szCs w:val="20"/>
          <w:lang w:val="it-IT"/>
        </w:rPr>
        <w:t>,</w:t>
      </w:r>
      <w:r w:rsidR="00AE637A" w:rsidRPr="00AE637A">
        <w:rPr>
          <w:sz w:val="24"/>
          <w:szCs w:val="20"/>
          <w:lang w:val="it-IT"/>
        </w:rPr>
        <w:t xml:space="preserve"> </w:t>
      </w:r>
      <w:r w:rsidR="00C375F9" w:rsidRPr="00AE637A">
        <w:rPr>
          <w:sz w:val="24"/>
          <w:szCs w:val="20"/>
          <w:lang w:val="it-IT"/>
        </w:rPr>
        <w:t xml:space="preserve">al fine di garantire l’invarianza della spesa, </w:t>
      </w:r>
      <w:r w:rsidR="00AE637A" w:rsidRPr="00AE637A">
        <w:rPr>
          <w:sz w:val="24"/>
          <w:szCs w:val="20"/>
          <w:lang w:val="it-IT"/>
        </w:rPr>
        <w:t xml:space="preserve">il gettone di presenza è stato </w:t>
      </w:r>
      <w:r w:rsidR="00FB4439" w:rsidRPr="00AE637A">
        <w:rPr>
          <w:sz w:val="24"/>
          <w:szCs w:val="20"/>
          <w:lang w:val="it-IT"/>
        </w:rPr>
        <w:t>ri</w:t>
      </w:r>
      <w:r w:rsidR="00AE637A" w:rsidRPr="00AE637A">
        <w:rPr>
          <w:sz w:val="24"/>
          <w:szCs w:val="20"/>
          <w:lang w:val="it-IT"/>
        </w:rPr>
        <w:t xml:space="preserve">determinato in </w:t>
      </w:r>
      <w:r w:rsidR="00C375F9" w:rsidRPr="00AE637A">
        <w:rPr>
          <w:sz w:val="24"/>
          <w:szCs w:val="20"/>
          <w:lang w:val="it-IT"/>
        </w:rPr>
        <w:t>Euro 9,76</w:t>
      </w:r>
      <w:r w:rsidR="00AE637A" w:rsidRPr="00AE637A">
        <w:rPr>
          <w:sz w:val="24"/>
          <w:szCs w:val="20"/>
          <w:lang w:val="it-IT"/>
        </w:rPr>
        <w:t xml:space="preserve">.= </w:t>
      </w:r>
      <w:r w:rsidR="00FB4439" w:rsidRPr="00AE637A">
        <w:rPr>
          <w:sz w:val="24"/>
          <w:szCs w:val="20"/>
          <w:lang w:val="it-IT"/>
        </w:rPr>
        <w:t>;</w:t>
      </w:r>
    </w:p>
    <w:p w:rsidR="00C375F9" w:rsidRPr="00AE637A" w:rsidRDefault="00C375F9" w:rsidP="002B0FDC">
      <w:pPr>
        <w:tabs>
          <w:tab w:val="left" w:pos="1373"/>
        </w:tabs>
        <w:spacing w:before="120"/>
        <w:ind w:right="153"/>
        <w:jc w:val="both"/>
        <w:rPr>
          <w:sz w:val="24"/>
          <w:szCs w:val="20"/>
          <w:lang w:val="it-IT"/>
        </w:rPr>
      </w:pPr>
    </w:p>
    <w:p w:rsidR="00C375F9" w:rsidRPr="00AE637A" w:rsidRDefault="00C375F9" w:rsidP="00FB4439">
      <w:pPr>
        <w:pStyle w:val="Paragrafoelenco"/>
        <w:tabs>
          <w:tab w:val="left" w:pos="1373"/>
        </w:tabs>
        <w:spacing w:before="122"/>
        <w:ind w:left="142" w:right="157" w:firstLine="0"/>
        <w:rPr>
          <w:sz w:val="24"/>
          <w:szCs w:val="20"/>
          <w:lang w:val="it-IT"/>
        </w:rPr>
      </w:pPr>
      <w:r w:rsidRPr="00AE637A">
        <w:rPr>
          <w:sz w:val="24"/>
          <w:szCs w:val="20"/>
          <w:lang w:val="it-IT"/>
        </w:rPr>
        <w:t>Visto:</w:t>
      </w:r>
    </w:p>
    <w:p w:rsidR="009B0076" w:rsidRPr="00AE637A" w:rsidRDefault="00FB4439" w:rsidP="00FB4439">
      <w:pPr>
        <w:pStyle w:val="Paragrafoelenco"/>
        <w:tabs>
          <w:tab w:val="left" w:pos="1373"/>
        </w:tabs>
        <w:spacing w:before="122"/>
        <w:ind w:left="142" w:right="157" w:firstLine="0"/>
        <w:rPr>
          <w:sz w:val="24"/>
          <w:szCs w:val="20"/>
          <w:lang w:val="it-IT"/>
        </w:rPr>
      </w:pPr>
      <w:r w:rsidRPr="00AE637A">
        <w:rPr>
          <w:sz w:val="24"/>
          <w:szCs w:val="20"/>
          <w:lang w:val="it-IT"/>
        </w:rPr>
        <w:t xml:space="preserve">- </w:t>
      </w:r>
      <w:r w:rsidR="00C375F9" w:rsidRPr="00AE637A">
        <w:rPr>
          <w:sz w:val="24"/>
          <w:szCs w:val="20"/>
          <w:lang w:val="it-IT"/>
        </w:rPr>
        <w:t xml:space="preserve">l’allegato </w:t>
      </w:r>
      <w:r w:rsidR="00AE637A" w:rsidRPr="00AE637A">
        <w:rPr>
          <w:sz w:val="24"/>
          <w:szCs w:val="20"/>
          <w:lang w:val="it-IT"/>
        </w:rPr>
        <w:t>prospetto riepilogativo delle presenze alle sedute del Consiglio Comunale  dei consiglieri percettori di gettone di presenza nell’anno 2016:</w:t>
      </w:r>
    </w:p>
    <w:p w:rsidR="009B0076" w:rsidRPr="00AE637A" w:rsidRDefault="00FB4439" w:rsidP="00FB4439">
      <w:pPr>
        <w:tabs>
          <w:tab w:val="left" w:pos="1372"/>
          <w:tab w:val="left" w:pos="1373"/>
        </w:tabs>
        <w:spacing w:before="121"/>
        <w:ind w:left="142"/>
        <w:rPr>
          <w:sz w:val="24"/>
          <w:szCs w:val="20"/>
          <w:lang w:val="it-IT"/>
        </w:rPr>
      </w:pPr>
      <w:r w:rsidRPr="00AE637A">
        <w:rPr>
          <w:sz w:val="24"/>
          <w:szCs w:val="20"/>
          <w:lang w:val="it-IT"/>
        </w:rPr>
        <w:t xml:space="preserve">- </w:t>
      </w:r>
      <w:r w:rsidR="00AE637A" w:rsidRPr="00AE637A">
        <w:rPr>
          <w:sz w:val="24"/>
          <w:szCs w:val="20"/>
          <w:lang w:val="it-IT"/>
        </w:rPr>
        <w:t>l'art. 82 del T. U. del D.Lgs 267/2000;</w:t>
      </w:r>
    </w:p>
    <w:p w:rsidR="00C375F9" w:rsidRPr="00AE637A" w:rsidRDefault="00C375F9" w:rsidP="00FB4439">
      <w:pPr>
        <w:tabs>
          <w:tab w:val="left" w:pos="1372"/>
          <w:tab w:val="left" w:pos="1373"/>
        </w:tabs>
        <w:spacing w:before="121"/>
        <w:ind w:left="142"/>
        <w:rPr>
          <w:sz w:val="24"/>
          <w:szCs w:val="20"/>
          <w:lang w:val="it-IT"/>
        </w:rPr>
      </w:pPr>
    </w:p>
    <w:p w:rsidR="00C375F9" w:rsidRPr="00AE637A" w:rsidRDefault="00C375F9" w:rsidP="00FB4439">
      <w:pPr>
        <w:tabs>
          <w:tab w:val="left" w:pos="1372"/>
          <w:tab w:val="left" w:pos="1373"/>
        </w:tabs>
        <w:spacing w:before="121"/>
        <w:ind w:left="142"/>
        <w:rPr>
          <w:sz w:val="24"/>
          <w:szCs w:val="20"/>
          <w:lang w:val="it-IT"/>
        </w:rPr>
      </w:pPr>
      <w:r w:rsidRPr="00AE637A">
        <w:rPr>
          <w:sz w:val="24"/>
          <w:szCs w:val="20"/>
          <w:lang w:val="it-IT"/>
        </w:rPr>
        <w:t>Richiamata la delibera di Consiglio Comunale n° 8 del 31/03/2017 con la quale è stato approvato il Documento –unico di Programmazione (DUP) 2017/2019 e del Bilancio di previsione 2017/2019 e relativi allegati;</w:t>
      </w:r>
    </w:p>
    <w:p w:rsidR="00C375F9" w:rsidRPr="00AE637A" w:rsidRDefault="00C375F9" w:rsidP="00FB4439">
      <w:pPr>
        <w:tabs>
          <w:tab w:val="left" w:pos="1372"/>
          <w:tab w:val="left" w:pos="1373"/>
        </w:tabs>
        <w:spacing w:before="121"/>
        <w:ind w:left="142"/>
        <w:rPr>
          <w:sz w:val="24"/>
          <w:szCs w:val="20"/>
          <w:lang w:val="it-IT"/>
        </w:rPr>
      </w:pPr>
    </w:p>
    <w:p w:rsidR="00C375F9" w:rsidRPr="00AE637A" w:rsidRDefault="00C375F9" w:rsidP="00AE637A">
      <w:pPr>
        <w:tabs>
          <w:tab w:val="left" w:pos="1372"/>
          <w:tab w:val="left" w:pos="1373"/>
        </w:tabs>
        <w:spacing w:before="121"/>
        <w:ind w:left="142"/>
        <w:jc w:val="both"/>
        <w:rPr>
          <w:sz w:val="24"/>
          <w:szCs w:val="20"/>
          <w:lang w:val="it-IT"/>
        </w:rPr>
      </w:pPr>
      <w:r w:rsidRPr="00AE637A">
        <w:rPr>
          <w:sz w:val="24"/>
          <w:szCs w:val="20"/>
          <w:lang w:val="it-IT"/>
        </w:rPr>
        <w:t xml:space="preserve">Dato Atto della propria competenza, come da poteri conferiti mediante Deliberazione di G.C. n. 61 del 10.06.2014; </w:t>
      </w:r>
    </w:p>
    <w:p w:rsidR="00C375F9" w:rsidRPr="00AE637A" w:rsidRDefault="00C375F9" w:rsidP="00AE637A">
      <w:pPr>
        <w:tabs>
          <w:tab w:val="left" w:pos="1372"/>
          <w:tab w:val="left" w:pos="1373"/>
        </w:tabs>
        <w:spacing w:before="121"/>
        <w:ind w:left="142"/>
        <w:jc w:val="both"/>
        <w:rPr>
          <w:sz w:val="24"/>
          <w:szCs w:val="20"/>
          <w:lang w:val="it-IT"/>
        </w:rPr>
      </w:pPr>
    </w:p>
    <w:p w:rsidR="00C375F9" w:rsidRPr="00AE637A" w:rsidRDefault="00C375F9" w:rsidP="00AE637A">
      <w:pPr>
        <w:tabs>
          <w:tab w:val="left" w:pos="1372"/>
          <w:tab w:val="left" w:pos="1373"/>
        </w:tabs>
        <w:spacing w:before="121"/>
        <w:ind w:left="142"/>
        <w:jc w:val="both"/>
        <w:rPr>
          <w:sz w:val="24"/>
          <w:szCs w:val="20"/>
          <w:lang w:val="it-IT"/>
        </w:rPr>
      </w:pPr>
      <w:r w:rsidRPr="00AE637A">
        <w:rPr>
          <w:sz w:val="24"/>
          <w:szCs w:val="20"/>
          <w:lang w:val="it-IT"/>
        </w:rPr>
        <w:t>Dato atto che il visto di regolarità contabile attestante la copertura finanziaria è riportato in calce al presente atto e si intende qua inserito ad ogni effetto;</w:t>
      </w:r>
    </w:p>
    <w:p w:rsidR="00C375F9" w:rsidRPr="00AE637A" w:rsidRDefault="00C375F9" w:rsidP="00FB4439">
      <w:pPr>
        <w:tabs>
          <w:tab w:val="left" w:pos="1372"/>
          <w:tab w:val="left" w:pos="1373"/>
        </w:tabs>
        <w:spacing w:before="121"/>
        <w:ind w:left="142"/>
        <w:rPr>
          <w:sz w:val="24"/>
          <w:szCs w:val="20"/>
          <w:lang w:val="it-IT"/>
        </w:rPr>
      </w:pPr>
    </w:p>
    <w:p w:rsidR="00C375F9" w:rsidRPr="00AE637A" w:rsidRDefault="00C375F9" w:rsidP="00FB4439">
      <w:pPr>
        <w:tabs>
          <w:tab w:val="left" w:pos="1372"/>
          <w:tab w:val="left" w:pos="1373"/>
        </w:tabs>
        <w:spacing w:before="121"/>
        <w:ind w:left="142"/>
        <w:jc w:val="both"/>
        <w:rPr>
          <w:sz w:val="24"/>
          <w:szCs w:val="20"/>
          <w:lang w:val="it-IT"/>
        </w:rPr>
      </w:pPr>
      <w:r w:rsidRPr="00AE637A">
        <w:rPr>
          <w:sz w:val="24"/>
          <w:szCs w:val="20"/>
          <w:lang w:val="it-IT"/>
        </w:rPr>
        <w:t xml:space="preserve">Richiamate le disposizioni del Codice di Comportamento del Comune di Gerenzago approvato con delibera di G.C. nr. 14 del 30.10.2014 ed in particolare l’art.4 – “Comunicazione degli interessi finanziari e conflitto di interesse” e l’art. 5 – “Obbligo di </w:t>
      </w:r>
      <w:r w:rsidRPr="00AE637A">
        <w:rPr>
          <w:sz w:val="24"/>
          <w:szCs w:val="20"/>
          <w:lang w:val="it-IT"/>
        </w:rPr>
        <w:lastRenderedPageBreak/>
        <w:t>astensione”</w:t>
      </w:r>
    </w:p>
    <w:p w:rsidR="00C375F9" w:rsidRPr="00AE637A" w:rsidRDefault="00C375F9" w:rsidP="00FB4439">
      <w:pPr>
        <w:tabs>
          <w:tab w:val="left" w:pos="1372"/>
          <w:tab w:val="left" w:pos="1373"/>
        </w:tabs>
        <w:spacing w:before="121"/>
        <w:ind w:left="142"/>
        <w:rPr>
          <w:sz w:val="24"/>
          <w:szCs w:val="20"/>
          <w:lang w:val="it-IT"/>
        </w:rPr>
      </w:pPr>
    </w:p>
    <w:p w:rsidR="00C375F9" w:rsidRPr="00AE637A" w:rsidRDefault="00C375F9" w:rsidP="00FB4439">
      <w:pPr>
        <w:tabs>
          <w:tab w:val="left" w:pos="1372"/>
          <w:tab w:val="left" w:pos="1373"/>
        </w:tabs>
        <w:spacing w:before="121"/>
        <w:ind w:left="142"/>
        <w:rPr>
          <w:sz w:val="24"/>
          <w:szCs w:val="20"/>
          <w:lang w:val="it-IT"/>
        </w:rPr>
      </w:pPr>
      <w:r w:rsidRPr="00AE637A">
        <w:rPr>
          <w:sz w:val="24"/>
          <w:szCs w:val="20"/>
          <w:lang w:val="it-IT"/>
        </w:rPr>
        <w:t>Dato atto che non sussistono cause di astensione riferite a situazioni di conflitto di interesse, anche solo potenziale, in capo al sottoscritto Responsabile del Servizio ai sensi dell’art 6-bis della legge 7 agosto 1990 n. 241;</w:t>
      </w:r>
    </w:p>
    <w:p w:rsidR="00C375F9" w:rsidRPr="00AE637A" w:rsidRDefault="00C375F9" w:rsidP="00FB4439">
      <w:pPr>
        <w:tabs>
          <w:tab w:val="left" w:pos="1372"/>
          <w:tab w:val="left" w:pos="1373"/>
        </w:tabs>
        <w:spacing w:before="121"/>
        <w:ind w:left="142"/>
        <w:rPr>
          <w:sz w:val="24"/>
          <w:szCs w:val="20"/>
          <w:lang w:val="it-IT"/>
        </w:rPr>
      </w:pPr>
      <w:r w:rsidRPr="00AE637A">
        <w:rPr>
          <w:sz w:val="24"/>
          <w:szCs w:val="20"/>
          <w:lang w:val="it-IT"/>
        </w:rPr>
        <w:t>Visti:</w:t>
      </w:r>
    </w:p>
    <w:p w:rsidR="00C375F9" w:rsidRPr="00AE637A" w:rsidRDefault="00FB4439" w:rsidP="00FB4439">
      <w:pPr>
        <w:tabs>
          <w:tab w:val="left" w:pos="1372"/>
          <w:tab w:val="left" w:pos="1373"/>
        </w:tabs>
        <w:spacing w:before="121"/>
        <w:ind w:left="142"/>
        <w:rPr>
          <w:sz w:val="24"/>
          <w:szCs w:val="20"/>
          <w:lang w:val="it-IT"/>
        </w:rPr>
      </w:pPr>
      <w:r w:rsidRPr="00AE637A">
        <w:rPr>
          <w:sz w:val="24"/>
          <w:szCs w:val="20"/>
          <w:lang w:val="it-IT"/>
        </w:rPr>
        <w:t xml:space="preserve">- </w:t>
      </w:r>
      <w:r w:rsidR="00C375F9" w:rsidRPr="00AE637A">
        <w:rPr>
          <w:sz w:val="24"/>
          <w:szCs w:val="20"/>
          <w:lang w:val="it-IT"/>
        </w:rPr>
        <w:t>il D.Lgs n° 267 del 18/08/2000 e s.m.i.</w:t>
      </w:r>
    </w:p>
    <w:p w:rsidR="00C375F9" w:rsidRPr="00AE637A" w:rsidRDefault="00FB4439" w:rsidP="00FB4439">
      <w:pPr>
        <w:tabs>
          <w:tab w:val="left" w:pos="1372"/>
          <w:tab w:val="left" w:pos="1373"/>
        </w:tabs>
        <w:spacing w:before="121"/>
        <w:ind w:left="142"/>
        <w:rPr>
          <w:sz w:val="24"/>
          <w:szCs w:val="20"/>
          <w:lang w:val="it-IT"/>
        </w:rPr>
      </w:pPr>
      <w:r w:rsidRPr="00AE637A">
        <w:rPr>
          <w:sz w:val="24"/>
          <w:szCs w:val="20"/>
          <w:lang w:val="it-IT"/>
        </w:rPr>
        <w:t xml:space="preserve">- </w:t>
      </w:r>
      <w:r w:rsidR="00C375F9" w:rsidRPr="00AE637A">
        <w:rPr>
          <w:sz w:val="24"/>
          <w:szCs w:val="20"/>
          <w:lang w:val="it-IT"/>
        </w:rPr>
        <w:t>la Legge n° 241 del 07/08/1990 e s.m.i.</w:t>
      </w:r>
    </w:p>
    <w:p w:rsidR="00C375F9" w:rsidRPr="00AE637A" w:rsidRDefault="00FB4439" w:rsidP="00FB4439">
      <w:pPr>
        <w:tabs>
          <w:tab w:val="left" w:pos="1372"/>
          <w:tab w:val="left" w:pos="1373"/>
        </w:tabs>
        <w:spacing w:before="121"/>
        <w:ind w:left="142"/>
        <w:rPr>
          <w:sz w:val="24"/>
          <w:szCs w:val="20"/>
          <w:lang w:val="it-IT"/>
        </w:rPr>
      </w:pPr>
      <w:r w:rsidRPr="00AE637A">
        <w:rPr>
          <w:sz w:val="24"/>
          <w:szCs w:val="20"/>
          <w:lang w:val="it-IT"/>
        </w:rPr>
        <w:t xml:space="preserve">- </w:t>
      </w:r>
      <w:r w:rsidR="00C375F9" w:rsidRPr="00AE637A">
        <w:rPr>
          <w:sz w:val="24"/>
          <w:szCs w:val="20"/>
          <w:lang w:val="it-IT"/>
        </w:rPr>
        <w:t>lo Statuto Comunale;</w:t>
      </w:r>
    </w:p>
    <w:p w:rsidR="00C375F9" w:rsidRPr="00AE637A" w:rsidRDefault="00FB4439" w:rsidP="00FB4439">
      <w:pPr>
        <w:tabs>
          <w:tab w:val="left" w:pos="1372"/>
          <w:tab w:val="left" w:pos="1373"/>
        </w:tabs>
        <w:spacing w:before="121"/>
        <w:ind w:left="142"/>
        <w:rPr>
          <w:sz w:val="24"/>
          <w:szCs w:val="20"/>
          <w:lang w:val="it-IT"/>
        </w:rPr>
      </w:pPr>
      <w:r w:rsidRPr="00AE637A">
        <w:rPr>
          <w:sz w:val="24"/>
          <w:szCs w:val="20"/>
          <w:lang w:val="it-IT"/>
        </w:rPr>
        <w:t xml:space="preserve">- </w:t>
      </w:r>
      <w:r w:rsidR="00C375F9" w:rsidRPr="00AE637A">
        <w:rPr>
          <w:sz w:val="24"/>
          <w:szCs w:val="20"/>
          <w:lang w:val="it-IT"/>
        </w:rPr>
        <w:t>il vigente Regolamento Comunale di Contabilità</w:t>
      </w:r>
    </w:p>
    <w:p w:rsidR="00C375F9" w:rsidRPr="00AE637A" w:rsidRDefault="00C375F9" w:rsidP="00FB4439">
      <w:pPr>
        <w:tabs>
          <w:tab w:val="left" w:pos="1372"/>
          <w:tab w:val="left" w:pos="1373"/>
        </w:tabs>
        <w:spacing w:before="121"/>
        <w:ind w:left="142"/>
        <w:rPr>
          <w:sz w:val="24"/>
          <w:szCs w:val="20"/>
          <w:lang w:val="it-IT"/>
        </w:rPr>
      </w:pPr>
      <w:r w:rsidRPr="00AE637A">
        <w:rPr>
          <w:sz w:val="24"/>
          <w:szCs w:val="20"/>
          <w:lang w:val="it-IT"/>
        </w:rPr>
        <w:t>Dato Atto che con la firma della presente determinazione da parte del Responsabile del servizio è rilasciato anche parere di regolarità tecnica, attestante la regolarità e la correttezza dell’azione amministrativa, ai sensi dell’art.147- bis del D.Lgs 267/2000;</w:t>
      </w:r>
    </w:p>
    <w:p w:rsidR="00C375F9" w:rsidRPr="00AE637A" w:rsidRDefault="00C375F9" w:rsidP="00FB4439">
      <w:pPr>
        <w:tabs>
          <w:tab w:val="left" w:pos="1372"/>
          <w:tab w:val="left" w:pos="1373"/>
        </w:tabs>
        <w:spacing w:before="121"/>
        <w:ind w:left="142"/>
        <w:rPr>
          <w:sz w:val="24"/>
          <w:szCs w:val="20"/>
          <w:lang w:val="it-IT"/>
        </w:rPr>
      </w:pPr>
    </w:p>
    <w:p w:rsidR="009B0076" w:rsidRPr="002B0FDC" w:rsidRDefault="00AE637A" w:rsidP="00FB4439">
      <w:pPr>
        <w:pStyle w:val="Titolo3"/>
        <w:ind w:left="142"/>
        <w:jc w:val="center"/>
        <w:rPr>
          <w:bCs w:val="0"/>
          <w:sz w:val="24"/>
          <w:lang w:val="it-IT"/>
        </w:rPr>
      </w:pPr>
      <w:r w:rsidRPr="002B0FDC">
        <w:rPr>
          <w:bCs w:val="0"/>
          <w:sz w:val="24"/>
          <w:lang w:val="it-IT"/>
        </w:rPr>
        <w:t>D E T E R M I N A</w:t>
      </w:r>
    </w:p>
    <w:p w:rsidR="00AF3F61" w:rsidRDefault="00AE637A" w:rsidP="002B0FDC">
      <w:pPr>
        <w:pStyle w:val="Paragrafoelenco"/>
        <w:numPr>
          <w:ilvl w:val="0"/>
          <w:numId w:val="5"/>
        </w:numPr>
        <w:tabs>
          <w:tab w:val="left" w:pos="426"/>
        </w:tabs>
        <w:spacing w:before="120"/>
        <w:ind w:right="158"/>
        <w:rPr>
          <w:sz w:val="24"/>
          <w:szCs w:val="20"/>
          <w:lang w:val="it-IT"/>
        </w:rPr>
      </w:pPr>
      <w:r w:rsidRPr="00AE637A">
        <w:rPr>
          <w:sz w:val="24"/>
          <w:szCs w:val="20"/>
          <w:lang w:val="it-IT"/>
        </w:rPr>
        <w:t>DI LIQUIDARE a favore dei Consiglieri Comunali, relativamente alle sedute del Consiglio Comunale per l'anno 2016, la somma</w:t>
      </w:r>
      <w:r w:rsidR="00C375F9" w:rsidRPr="00AE637A">
        <w:rPr>
          <w:sz w:val="24"/>
          <w:szCs w:val="20"/>
          <w:lang w:val="it-IT"/>
        </w:rPr>
        <w:t xml:space="preserve"> complessiva</w:t>
      </w:r>
      <w:r w:rsidRPr="00AE637A">
        <w:rPr>
          <w:sz w:val="24"/>
          <w:szCs w:val="20"/>
          <w:lang w:val="it-IT"/>
        </w:rPr>
        <w:t xml:space="preserve"> di Euro.= </w:t>
      </w:r>
      <w:r w:rsidR="000E10F3" w:rsidRPr="00AE637A">
        <w:rPr>
          <w:sz w:val="24"/>
          <w:szCs w:val="20"/>
          <w:lang w:val="it-IT"/>
        </w:rPr>
        <w:t>322,08</w:t>
      </w:r>
      <w:r w:rsidR="00DD0111" w:rsidRPr="00AE637A">
        <w:rPr>
          <w:sz w:val="24"/>
          <w:szCs w:val="20"/>
          <w:lang w:val="it-IT"/>
        </w:rPr>
        <w:t xml:space="preserve"> quantificata come da pros</w:t>
      </w:r>
      <w:r w:rsidR="00FB4439" w:rsidRPr="00AE637A">
        <w:rPr>
          <w:sz w:val="24"/>
          <w:szCs w:val="20"/>
          <w:lang w:val="it-IT"/>
        </w:rPr>
        <w:t>petto allegato al presente atto;</w:t>
      </w:r>
    </w:p>
    <w:p w:rsidR="00AE637A" w:rsidRDefault="00AE637A" w:rsidP="002B0FDC">
      <w:pPr>
        <w:pStyle w:val="Paragrafoelenco"/>
        <w:numPr>
          <w:ilvl w:val="0"/>
          <w:numId w:val="5"/>
        </w:numPr>
        <w:tabs>
          <w:tab w:val="left" w:pos="426"/>
        </w:tabs>
        <w:spacing w:before="120"/>
        <w:ind w:right="158"/>
        <w:rPr>
          <w:sz w:val="24"/>
          <w:lang w:val="it-IT"/>
        </w:rPr>
      </w:pPr>
      <w:r w:rsidRPr="00AE637A">
        <w:rPr>
          <w:sz w:val="24"/>
          <w:lang w:val="it-IT"/>
        </w:rPr>
        <w:t xml:space="preserve">Di dare atto che la spesa di €. </w:t>
      </w:r>
      <w:r>
        <w:rPr>
          <w:sz w:val="24"/>
          <w:lang w:val="it-IT"/>
        </w:rPr>
        <w:t xml:space="preserve">322,08 </w:t>
      </w:r>
      <w:r w:rsidRPr="00AE637A">
        <w:rPr>
          <w:sz w:val="24"/>
          <w:lang w:val="it-IT"/>
        </w:rPr>
        <w:t xml:space="preserve">trova imputazione </w:t>
      </w:r>
      <w:r w:rsidR="002B0FDC" w:rsidRPr="00AE637A">
        <w:rPr>
          <w:sz w:val="24"/>
          <w:lang w:val="it-IT"/>
        </w:rPr>
        <w:t xml:space="preserve">all’intervento </w:t>
      </w:r>
      <w:r w:rsidR="002B0FDC">
        <w:rPr>
          <w:sz w:val="24"/>
          <w:lang w:val="it-IT"/>
        </w:rPr>
        <w:t>30/10/2 – 1.01.1.103</w:t>
      </w:r>
      <w:r w:rsidR="002B0FDC">
        <w:rPr>
          <w:sz w:val="24"/>
          <w:lang w:val="it-IT"/>
        </w:rPr>
        <w:t xml:space="preserve"> </w:t>
      </w:r>
      <w:bookmarkStart w:id="0" w:name="_GoBack"/>
      <w:bookmarkEnd w:id="0"/>
      <w:r w:rsidR="002B0FDC" w:rsidRPr="00AE637A">
        <w:rPr>
          <w:sz w:val="24"/>
          <w:lang w:val="it-IT"/>
        </w:rPr>
        <w:t>del</w:t>
      </w:r>
      <w:r w:rsidRPr="00AE637A">
        <w:rPr>
          <w:sz w:val="24"/>
          <w:lang w:val="it-IT"/>
        </w:rPr>
        <w:t xml:space="preserve"> Bilancio di Previsione esercizio finan</w:t>
      </w:r>
      <w:r>
        <w:rPr>
          <w:sz w:val="24"/>
          <w:lang w:val="it-IT"/>
        </w:rPr>
        <w:t>ziario 2016</w:t>
      </w:r>
      <w:r w:rsidRPr="00AE637A">
        <w:rPr>
          <w:sz w:val="24"/>
          <w:lang w:val="it-IT"/>
        </w:rPr>
        <w:t xml:space="preserve"> – esigibilità 2017 (F.P.V. 2017)</w:t>
      </w:r>
      <w:r w:rsidR="002B0FDC">
        <w:rPr>
          <w:sz w:val="24"/>
          <w:lang w:val="it-IT"/>
        </w:rPr>
        <w:t>;</w:t>
      </w:r>
    </w:p>
    <w:p w:rsidR="00AE637A" w:rsidRPr="00AE637A" w:rsidRDefault="00AE637A" w:rsidP="002B0FDC">
      <w:pPr>
        <w:pStyle w:val="Paragrafoelenco"/>
        <w:numPr>
          <w:ilvl w:val="0"/>
          <w:numId w:val="5"/>
        </w:numPr>
        <w:tabs>
          <w:tab w:val="left" w:pos="426"/>
        </w:tabs>
        <w:spacing w:before="120"/>
        <w:ind w:right="158"/>
        <w:rPr>
          <w:sz w:val="24"/>
          <w:lang w:val="it-IT"/>
        </w:rPr>
      </w:pPr>
      <w:r w:rsidRPr="00AE637A">
        <w:rPr>
          <w:sz w:val="24"/>
          <w:lang w:val="it-IT"/>
        </w:rPr>
        <w:t>Di pubblicare la presente determinazione nell’apposita sezione “Amministrazione Trasparente” del sito istituzionale.</w:t>
      </w:r>
    </w:p>
    <w:p w:rsidR="009B0076" w:rsidRPr="00C375F9" w:rsidRDefault="009B0076" w:rsidP="00FB4439">
      <w:pPr>
        <w:pStyle w:val="Corpotesto"/>
        <w:ind w:left="142"/>
        <w:rPr>
          <w:sz w:val="24"/>
          <w:lang w:val="it-IT"/>
        </w:rPr>
      </w:pPr>
    </w:p>
    <w:p w:rsidR="00AE637A" w:rsidRPr="00AE637A" w:rsidRDefault="00AE637A" w:rsidP="00AE637A">
      <w:pPr>
        <w:pStyle w:val="Corpotesto"/>
        <w:ind w:left="142"/>
        <w:jc w:val="center"/>
        <w:rPr>
          <w:sz w:val="24"/>
          <w:lang w:val="it-IT"/>
        </w:rPr>
      </w:pPr>
      <w:r w:rsidRPr="00AE637A">
        <w:rPr>
          <w:sz w:val="24"/>
          <w:lang w:val="it-IT"/>
        </w:rPr>
        <w:t>Il Responsabile dell’Ufficio Finanziario</w:t>
      </w:r>
    </w:p>
    <w:p w:rsidR="00AE637A" w:rsidRPr="00AE637A" w:rsidRDefault="00AE637A" w:rsidP="00AE637A">
      <w:pPr>
        <w:pStyle w:val="Corpotesto"/>
        <w:ind w:left="142"/>
        <w:jc w:val="center"/>
        <w:rPr>
          <w:sz w:val="24"/>
          <w:lang w:val="it-IT"/>
        </w:rPr>
      </w:pPr>
      <w:r w:rsidRPr="00AE637A">
        <w:rPr>
          <w:sz w:val="24"/>
          <w:lang w:val="it-IT"/>
        </w:rPr>
        <w:t>Daniele Mandrini</w:t>
      </w:r>
    </w:p>
    <w:p w:rsidR="00AE637A" w:rsidRPr="00AE637A" w:rsidRDefault="00AE637A" w:rsidP="00AE637A">
      <w:pPr>
        <w:pStyle w:val="Corpotesto"/>
        <w:ind w:left="142"/>
        <w:jc w:val="center"/>
        <w:rPr>
          <w:sz w:val="24"/>
          <w:lang w:val="it-IT"/>
        </w:rPr>
      </w:pPr>
    </w:p>
    <w:p w:rsidR="00AE637A" w:rsidRPr="00AE637A" w:rsidRDefault="00AE637A" w:rsidP="00AE637A">
      <w:pPr>
        <w:pStyle w:val="Corpotesto"/>
        <w:ind w:left="142"/>
        <w:jc w:val="center"/>
        <w:rPr>
          <w:sz w:val="24"/>
          <w:lang w:val="it-IT"/>
        </w:rPr>
      </w:pPr>
      <w:r w:rsidRPr="00AE637A">
        <w:rPr>
          <w:sz w:val="24"/>
          <w:lang w:val="it-IT"/>
        </w:rPr>
        <w:t>************************</w:t>
      </w:r>
    </w:p>
    <w:p w:rsidR="00AE637A" w:rsidRPr="00AE637A" w:rsidRDefault="00AE637A" w:rsidP="00AE637A">
      <w:pPr>
        <w:pStyle w:val="Corpotesto"/>
        <w:ind w:left="142"/>
        <w:jc w:val="center"/>
        <w:rPr>
          <w:sz w:val="24"/>
          <w:lang w:val="it-IT"/>
        </w:rPr>
      </w:pPr>
    </w:p>
    <w:p w:rsidR="00AE637A" w:rsidRPr="00AE637A" w:rsidRDefault="00AE637A" w:rsidP="00AE637A">
      <w:pPr>
        <w:pStyle w:val="Corpotesto"/>
        <w:ind w:left="142"/>
        <w:jc w:val="center"/>
        <w:rPr>
          <w:sz w:val="24"/>
          <w:lang w:val="it-IT"/>
        </w:rPr>
      </w:pPr>
      <w:r w:rsidRPr="00AE637A">
        <w:rPr>
          <w:sz w:val="24"/>
          <w:lang w:val="it-IT"/>
        </w:rPr>
        <w:t>SERVIZIO FINANZIARIO</w:t>
      </w:r>
    </w:p>
    <w:p w:rsidR="00AE637A" w:rsidRPr="00AE637A" w:rsidRDefault="00AE637A" w:rsidP="00AE637A">
      <w:pPr>
        <w:pStyle w:val="Corpotesto"/>
        <w:ind w:left="142"/>
        <w:rPr>
          <w:sz w:val="24"/>
          <w:lang w:val="it-IT"/>
        </w:rPr>
      </w:pPr>
      <w:r w:rsidRPr="00AE637A">
        <w:rPr>
          <w:sz w:val="24"/>
          <w:lang w:val="it-IT"/>
        </w:rPr>
        <w:t>Vista la Deliberazione di G.C. n. 61 del 10.06.2014, con la quale è stata attribuita la competenza si appone:</w:t>
      </w:r>
    </w:p>
    <w:p w:rsidR="00AE637A" w:rsidRPr="00AE637A" w:rsidRDefault="00AE637A" w:rsidP="00AE637A">
      <w:pPr>
        <w:pStyle w:val="Corpotesto"/>
        <w:ind w:left="142"/>
        <w:rPr>
          <w:sz w:val="24"/>
          <w:lang w:val="it-IT"/>
        </w:rPr>
      </w:pPr>
      <w:r w:rsidRPr="00AE637A">
        <w:rPr>
          <w:sz w:val="24"/>
          <w:lang w:val="it-IT"/>
        </w:rPr>
        <w:t>-</w:t>
      </w:r>
      <w:r w:rsidRPr="00AE637A">
        <w:rPr>
          <w:sz w:val="24"/>
          <w:lang w:val="it-IT"/>
        </w:rPr>
        <w:tab/>
        <w:t>parere favorevole in ordine alla regolarità tecnica e contabile, ai sensi dell’art. 147 bis del TUEL n. 267/2000 e s.m.i.;</w:t>
      </w:r>
    </w:p>
    <w:p w:rsidR="00AE637A" w:rsidRPr="00AE637A" w:rsidRDefault="00AE637A" w:rsidP="00AE637A">
      <w:pPr>
        <w:pStyle w:val="Corpotesto"/>
        <w:ind w:left="142"/>
        <w:rPr>
          <w:sz w:val="24"/>
          <w:lang w:val="it-IT"/>
        </w:rPr>
      </w:pPr>
      <w:r w:rsidRPr="00AE637A">
        <w:rPr>
          <w:sz w:val="24"/>
          <w:lang w:val="it-IT"/>
        </w:rPr>
        <w:t>-</w:t>
      </w:r>
      <w:r w:rsidRPr="00AE637A">
        <w:rPr>
          <w:sz w:val="24"/>
          <w:lang w:val="it-IT"/>
        </w:rPr>
        <w:tab/>
        <w:t xml:space="preserve"> visto di regolarità contabile attestante la copertura finanziaria della spesa cui si riferisce, ai sensi dell’art. 183 comma 7  del D. Lgs. 18 agosto 2000, n. 267 e s.m.i.</w:t>
      </w:r>
    </w:p>
    <w:p w:rsidR="00AE637A" w:rsidRPr="00AE637A" w:rsidRDefault="00AE637A" w:rsidP="00AE637A">
      <w:pPr>
        <w:pStyle w:val="Corpotesto"/>
        <w:ind w:left="142"/>
        <w:rPr>
          <w:sz w:val="24"/>
          <w:lang w:val="it-IT"/>
        </w:rPr>
      </w:pPr>
    </w:p>
    <w:p w:rsidR="00AE637A" w:rsidRDefault="00AE637A" w:rsidP="00AE637A">
      <w:pPr>
        <w:pStyle w:val="Corpotesto"/>
        <w:ind w:left="142"/>
        <w:rPr>
          <w:sz w:val="24"/>
          <w:lang w:val="it-IT"/>
        </w:rPr>
      </w:pPr>
      <w:r>
        <w:rPr>
          <w:sz w:val="24"/>
          <w:lang w:val="it-IT"/>
        </w:rPr>
        <w:t>Gerenzago, lì 9.11.2017</w:t>
      </w:r>
    </w:p>
    <w:p w:rsidR="00AE637A" w:rsidRPr="00AE637A" w:rsidRDefault="00AE637A" w:rsidP="00AE637A">
      <w:pPr>
        <w:pStyle w:val="Corpotesto"/>
        <w:ind w:left="142"/>
        <w:jc w:val="center"/>
        <w:rPr>
          <w:sz w:val="24"/>
          <w:lang w:val="it-IT"/>
        </w:rPr>
      </w:pPr>
      <w:r w:rsidRPr="00AE637A">
        <w:rPr>
          <w:sz w:val="24"/>
          <w:lang w:val="it-IT"/>
        </w:rPr>
        <w:t>IL RESPONSABILE DEL SERVIZIO FINANZIARIO</w:t>
      </w:r>
    </w:p>
    <w:p w:rsidR="009B0076" w:rsidRPr="00C375F9" w:rsidRDefault="00AE637A" w:rsidP="00AE637A">
      <w:pPr>
        <w:pStyle w:val="Corpotesto"/>
        <w:ind w:left="142"/>
        <w:jc w:val="center"/>
        <w:rPr>
          <w:sz w:val="24"/>
          <w:lang w:val="it-IT"/>
        </w:rPr>
      </w:pPr>
      <w:r w:rsidRPr="00AE637A">
        <w:rPr>
          <w:sz w:val="24"/>
          <w:lang w:val="it-IT"/>
        </w:rPr>
        <w:t>Daniele Mandrini</w:t>
      </w:r>
    </w:p>
    <w:p w:rsidR="009B0076" w:rsidRPr="00C375F9" w:rsidRDefault="009B0076" w:rsidP="00FB4439">
      <w:pPr>
        <w:pStyle w:val="Corpotesto"/>
        <w:ind w:left="142"/>
        <w:rPr>
          <w:sz w:val="24"/>
          <w:lang w:val="it-IT"/>
        </w:rPr>
      </w:pPr>
    </w:p>
    <w:sectPr w:rsidR="009B0076" w:rsidRPr="00C375F9" w:rsidSect="00AE637A">
      <w:pgSz w:w="11900" w:h="16840"/>
      <w:pgMar w:top="560" w:right="760" w:bottom="920" w:left="900" w:header="0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EF2" w:rsidRDefault="00AE637A">
      <w:r>
        <w:separator/>
      </w:r>
    </w:p>
  </w:endnote>
  <w:endnote w:type="continuationSeparator" w:id="0">
    <w:p w:rsidR="00EC3EF2" w:rsidRDefault="00AE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EF2" w:rsidRDefault="00AE637A">
      <w:r>
        <w:separator/>
      </w:r>
    </w:p>
  </w:footnote>
  <w:footnote w:type="continuationSeparator" w:id="0">
    <w:p w:rsidR="00EC3EF2" w:rsidRDefault="00AE6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14DB3"/>
    <w:multiLevelType w:val="hybridMultilevel"/>
    <w:tmpl w:val="24E8351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4480AEC"/>
    <w:multiLevelType w:val="hybridMultilevel"/>
    <w:tmpl w:val="6A4C44FA"/>
    <w:lvl w:ilvl="0" w:tplc="B2C83D92">
      <w:start w:val="14"/>
      <w:numFmt w:val="upperLetter"/>
      <w:lvlText w:val="%1."/>
      <w:lvlJc w:val="left"/>
      <w:pPr>
        <w:ind w:left="525" w:hanging="293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52A29014">
      <w:start w:val="1"/>
      <w:numFmt w:val="decimal"/>
      <w:lvlText w:val="%2."/>
      <w:lvlJc w:val="left"/>
      <w:pPr>
        <w:ind w:left="2092" w:hanging="360"/>
        <w:jc w:val="left"/>
      </w:pPr>
      <w:rPr>
        <w:rFonts w:hint="default"/>
        <w:w w:val="99"/>
        <w:highlight w:val="yellow"/>
      </w:rPr>
    </w:lvl>
    <w:lvl w:ilvl="2" w:tplc="DE805A80"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7B16855E">
      <w:numFmt w:val="bullet"/>
      <w:lvlText w:val="•"/>
      <w:lvlJc w:val="left"/>
      <w:pPr>
        <w:ind w:left="3908" w:hanging="360"/>
      </w:pPr>
      <w:rPr>
        <w:rFonts w:hint="default"/>
      </w:rPr>
    </w:lvl>
    <w:lvl w:ilvl="4" w:tplc="E74CE56A">
      <w:numFmt w:val="bullet"/>
      <w:lvlText w:val="•"/>
      <w:lvlJc w:val="left"/>
      <w:pPr>
        <w:ind w:left="4813" w:hanging="360"/>
      </w:pPr>
      <w:rPr>
        <w:rFonts w:hint="default"/>
      </w:rPr>
    </w:lvl>
    <w:lvl w:ilvl="5" w:tplc="A5F42DEC">
      <w:numFmt w:val="bullet"/>
      <w:lvlText w:val="•"/>
      <w:lvlJc w:val="left"/>
      <w:pPr>
        <w:ind w:left="5717" w:hanging="360"/>
      </w:pPr>
      <w:rPr>
        <w:rFonts w:hint="default"/>
      </w:rPr>
    </w:lvl>
    <w:lvl w:ilvl="6" w:tplc="FB685366">
      <w:numFmt w:val="bullet"/>
      <w:lvlText w:val="•"/>
      <w:lvlJc w:val="left"/>
      <w:pPr>
        <w:ind w:left="6622" w:hanging="360"/>
      </w:pPr>
      <w:rPr>
        <w:rFonts w:hint="default"/>
      </w:rPr>
    </w:lvl>
    <w:lvl w:ilvl="7" w:tplc="073AA43A">
      <w:numFmt w:val="bullet"/>
      <w:lvlText w:val="•"/>
      <w:lvlJc w:val="left"/>
      <w:pPr>
        <w:ind w:left="7526" w:hanging="360"/>
      </w:pPr>
      <w:rPr>
        <w:rFonts w:hint="default"/>
      </w:rPr>
    </w:lvl>
    <w:lvl w:ilvl="8" w:tplc="DAAEBF62">
      <w:numFmt w:val="bullet"/>
      <w:lvlText w:val="•"/>
      <w:lvlJc w:val="left"/>
      <w:pPr>
        <w:ind w:left="8431" w:hanging="360"/>
      </w:pPr>
      <w:rPr>
        <w:rFonts w:hint="default"/>
      </w:rPr>
    </w:lvl>
  </w:abstractNum>
  <w:abstractNum w:abstractNumId="2" w15:restartNumberingAfterBreak="0">
    <w:nsid w:val="40123955"/>
    <w:multiLevelType w:val="hybridMultilevel"/>
    <w:tmpl w:val="67382FCC"/>
    <w:lvl w:ilvl="0" w:tplc="F66650A8">
      <w:start w:val="1"/>
      <w:numFmt w:val="decimal"/>
      <w:lvlText w:val="%1."/>
      <w:lvlJc w:val="left"/>
      <w:pPr>
        <w:ind w:left="1732" w:hanging="360"/>
        <w:jc w:val="left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 w:tplc="B092532A">
      <w:numFmt w:val="bullet"/>
      <w:lvlText w:val="•"/>
      <w:lvlJc w:val="left"/>
      <w:pPr>
        <w:ind w:left="2590" w:hanging="360"/>
      </w:pPr>
      <w:rPr>
        <w:rFonts w:hint="default"/>
      </w:rPr>
    </w:lvl>
    <w:lvl w:ilvl="2" w:tplc="DC2C2664"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56C64BF2">
      <w:numFmt w:val="bullet"/>
      <w:lvlText w:val="•"/>
      <w:lvlJc w:val="left"/>
      <w:pPr>
        <w:ind w:left="4290" w:hanging="360"/>
      </w:pPr>
      <w:rPr>
        <w:rFonts w:hint="default"/>
      </w:rPr>
    </w:lvl>
    <w:lvl w:ilvl="4" w:tplc="D9982D40">
      <w:numFmt w:val="bullet"/>
      <w:lvlText w:val="•"/>
      <w:lvlJc w:val="left"/>
      <w:pPr>
        <w:ind w:left="5140" w:hanging="360"/>
      </w:pPr>
      <w:rPr>
        <w:rFonts w:hint="default"/>
      </w:rPr>
    </w:lvl>
    <w:lvl w:ilvl="5" w:tplc="4654805A"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5CA0EDBE">
      <w:numFmt w:val="bullet"/>
      <w:lvlText w:val="•"/>
      <w:lvlJc w:val="left"/>
      <w:pPr>
        <w:ind w:left="6840" w:hanging="360"/>
      </w:pPr>
      <w:rPr>
        <w:rFonts w:hint="default"/>
      </w:rPr>
    </w:lvl>
    <w:lvl w:ilvl="7" w:tplc="3F0CFABE">
      <w:numFmt w:val="bullet"/>
      <w:lvlText w:val="•"/>
      <w:lvlJc w:val="left"/>
      <w:pPr>
        <w:ind w:left="7690" w:hanging="360"/>
      </w:pPr>
      <w:rPr>
        <w:rFonts w:hint="default"/>
      </w:rPr>
    </w:lvl>
    <w:lvl w:ilvl="8" w:tplc="F6C6A7FA">
      <w:numFmt w:val="bullet"/>
      <w:lvlText w:val="•"/>
      <w:lvlJc w:val="left"/>
      <w:pPr>
        <w:ind w:left="8540" w:hanging="360"/>
      </w:pPr>
      <w:rPr>
        <w:rFonts w:hint="default"/>
      </w:rPr>
    </w:lvl>
  </w:abstractNum>
  <w:abstractNum w:abstractNumId="3" w15:restartNumberingAfterBreak="0">
    <w:nsid w:val="4B746CDD"/>
    <w:multiLevelType w:val="hybridMultilevel"/>
    <w:tmpl w:val="5CB619C4"/>
    <w:lvl w:ilvl="0" w:tplc="BF080FD8">
      <w:numFmt w:val="bullet"/>
      <w:lvlText w:val="-"/>
      <w:lvlJc w:val="left"/>
      <w:pPr>
        <w:ind w:left="232" w:hanging="145"/>
      </w:pPr>
      <w:rPr>
        <w:rFonts w:ascii="Century Gothic" w:eastAsia="Century Gothic" w:hAnsi="Century Gothic" w:cs="Century Gothic" w:hint="default"/>
        <w:b/>
        <w:bCs/>
        <w:w w:val="99"/>
        <w:sz w:val="20"/>
        <w:szCs w:val="20"/>
      </w:rPr>
    </w:lvl>
    <w:lvl w:ilvl="1" w:tplc="3926BDE8">
      <w:numFmt w:val="bullet"/>
      <w:lvlText w:val="•"/>
      <w:lvlJc w:val="left"/>
      <w:pPr>
        <w:ind w:left="1240" w:hanging="145"/>
      </w:pPr>
      <w:rPr>
        <w:rFonts w:hint="default"/>
      </w:rPr>
    </w:lvl>
    <w:lvl w:ilvl="2" w:tplc="F62A5DA8">
      <w:numFmt w:val="bullet"/>
      <w:lvlText w:val="•"/>
      <w:lvlJc w:val="left"/>
      <w:pPr>
        <w:ind w:left="2240" w:hanging="145"/>
      </w:pPr>
      <w:rPr>
        <w:rFonts w:hint="default"/>
      </w:rPr>
    </w:lvl>
    <w:lvl w:ilvl="3" w:tplc="8C0C3F84">
      <w:numFmt w:val="bullet"/>
      <w:lvlText w:val="•"/>
      <w:lvlJc w:val="left"/>
      <w:pPr>
        <w:ind w:left="3240" w:hanging="145"/>
      </w:pPr>
      <w:rPr>
        <w:rFonts w:hint="default"/>
      </w:rPr>
    </w:lvl>
    <w:lvl w:ilvl="4" w:tplc="3820A59E">
      <w:numFmt w:val="bullet"/>
      <w:lvlText w:val="•"/>
      <w:lvlJc w:val="left"/>
      <w:pPr>
        <w:ind w:left="4240" w:hanging="145"/>
      </w:pPr>
      <w:rPr>
        <w:rFonts w:hint="default"/>
      </w:rPr>
    </w:lvl>
    <w:lvl w:ilvl="5" w:tplc="2FA05F90">
      <w:numFmt w:val="bullet"/>
      <w:lvlText w:val="•"/>
      <w:lvlJc w:val="left"/>
      <w:pPr>
        <w:ind w:left="5240" w:hanging="145"/>
      </w:pPr>
      <w:rPr>
        <w:rFonts w:hint="default"/>
      </w:rPr>
    </w:lvl>
    <w:lvl w:ilvl="6" w:tplc="AAB2012A">
      <w:numFmt w:val="bullet"/>
      <w:lvlText w:val="•"/>
      <w:lvlJc w:val="left"/>
      <w:pPr>
        <w:ind w:left="6240" w:hanging="145"/>
      </w:pPr>
      <w:rPr>
        <w:rFonts w:hint="default"/>
      </w:rPr>
    </w:lvl>
    <w:lvl w:ilvl="7" w:tplc="E9E0E9AE">
      <w:numFmt w:val="bullet"/>
      <w:lvlText w:val="•"/>
      <w:lvlJc w:val="left"/>
      <w:pPr>
        <w:ind w:left="7240" w:hanging="145"/>
      </w:pPr>
      <w:rPr>
        <w:rFonts w:hint="default"/>
      </w:rPr>
    </w:lvl>
    <w:lvl w:ilvl="8" w:tplc="5BF41078">
      <w:numFmt w:val="bullet"/>
      <w:lvlText w:val="•"/>
      <w:lvlJc w:val="left"/>
      <w:pPr>
        <w:ind w:left="8240" w:hanging="145"/>
      </w:pPr>
      <w:rPr>
        <w:rFonts w:hint="default"/>
      </w:rPr>
    </w:lvl>
  </w:abstractNum>
  <w:abstractNum w:abstractNumId="4" w15:restartNumberingAfterBreak="0">
    <w:nsid w:val="578F4211"/>
    <w:multiLevelType w:val="hybridMultilevel"/>
    <w:tmpl w:val="AFE0971C"/>
    <w:lvl w:ilvl="0" w:tplc="799E3D6E">
      <w:numFmt w:val="bullet"/>
      <w:lvlText w:val="-"/>
      <w:lvlJc w:val="left"/>
      <w:pPr>
        <w:ind w:left="952" w:hanging="720"/>
      </w:pPr>
      <w:rPr>
        <w:rFonts w:ascii="Century Gothic" w:eastAsia="Century Gothic" w:hAnsi="Century Gothic" w:cs="Century Gothic" w:hint="default"/>
        <w:w w:val="99"/>
        <w:sz w:val="20"/>
        <w:szCs w:val="20"/>
      </w:rPr>
    </w:lvl>
    <w:lvl w:ilvl="1" w:tplc="19E48494">
      <w:numFmt w:val="bullet"/>
      <w:lvlText w:val="-"/>
      <w:lvlJc w:val="left"/>
      <w:pPr>
        <w:ind w:left="1372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AAA2A92E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CEBC8D18"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77463898">
      <w:numFmt w:val="bullet"/>
      <w:lvlText w:val="•"/>
      <w:lvlJc w:val="left"/>
      <w:pPr>
        <w:ind w:left="4333" w:hanging="360"/>
      </w:pPr>
      <w:rPr>
        <w:rFonts w:hint="default"/>
      </w:rPr>
    </w:lvl>
    <w:lvl w:ilvl="5" w:tplc="73D2A4A6">
      <w:numFmt w:val="bullet"/>
      <w:lvlText w:val="•"/>
      <w:lvlJc w:val="left"/>
      <w:pPr>
        <w:ind w:left="5317" w:hanging="360"/>
      </w:pPr>
      <w:rPr>
        <w:rFonts w:hint="default"/>
      </w:rPr>
    </w:lvl>
    <w:lvl w:ilvl="6" w:tplc="1E8E7CF4">
      <w:numFmt w:val="bullet"/>
      <w:lvlText w:val="•"/>
      <w:lvlJc w:val="left"/>
      <w:pPr>
        <w:ind w:left="6302" w:hanging="360"/>
      </w:pPr>
      <w:rPr>
        <w:rFonts w:hint="default"/>
      </w:rPr>
    </w:lvl>
    <w:lvl w:ilvl="7" w:tplc="064E247A">
      <w:numFmt w:val="bullet"/>
      <w:lvlText w:val="•"/>
      <w:lvlJc w:val="left"/>
      <w:pPr>
        <w:ind w:left="7286" w:hanging="360"/>
      </w:pPr>
      <w:rPr>
        <w:rFonts w:hint="default"/>
      </w:rPr>
    </w:lvl>
    <w:lvl w:ilvl="8" w:tplc="B3A2BF32">
      <w:numFmt w:val="bullet"/>
      <w:lvlText w:val="•"/>
      <w:lvlJc w:val="left"/>
      <w:pPr>
        <w:ind w:left="8271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76"/>
    <w:rsid w:val="000E10F3"/>
    <w:rsid w:val="002B0FDC"/>
    <w:rsid w:val="009B0076"/>
    <w:rsid w:val="00AE637A"/>
    <w:rsid w:val="00AF3F61"/>
    <w:rsid w:val="00C375F9"/>
    <w:rsid w:val="00DD0111"/>
    <w:rsid w:val="00EC3EF2"/>
    <w:rsid w:val="00FB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0A1928"/>
  <w15:docId w15:val="{D4C11832-A6F3-4C84-BCD1-0D783B66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entury Gothic" w:eastAsia="Century Gothic" w:hAnsi="Century Gothic" w:cs="Century Gothic"/>
    </w:rPr>
  </w:style>
  <w:style w:type="paragraph" w:styleId="Titolo1">
    <w:name w:val="heading 1"/>
    <w:basedOn w:val="Normale"/>
    <w:uiPriority w:val="1"/>
    <w:qFormat/>
    <w:pPr>
      <w:ind w:left="23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32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119"/>
      <w:ind w:left="232"/>
      <w:jc w:val="both"/>
      <w:outlineLvl w:val="2"/>
    </w:pPr>
    <w:rPr>
      <w:b/>
      <w:b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B44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732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196" w:lineRule="exact"/>
      <w:jc w:val="right"/>
    </w:p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B44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">
    <w:name w:val="Title"/>
    <w:basedOn w:val="Normale"/>
    <w:link w:val="TitoloCarattere"/>
    <w:qFormat/>
    <w:rsid w:val="00FB4439"/>
    <w:pPr>
      <w:widowControl/>
      <w:autoSpaceDE/>
      <w:autoSpaceDN/>
      <w:jc w:val="center"/>
    </w:pPr>
    <w:rPr>
      <w:rFonts w:eastAsia="Times New Roman" w:cs="Times New Roman"/>
      <w:b/>
      <w:i/>
      <w:color w:val="000080"/>
      <w:sz w:val="36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FB4439"/>
    <w:rPr>
      <w:rFonts w:ascii="Century Gothic" w:eastAsia="Times New Roman" w:hAnsi="Century Gothic" w:cs="Times New Roman"/>
      <w:b/>
      <w:i/>
      <w:color w:val="000080"/>
      <w:sz w:val="36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F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FDC"/>
    <w:rPr>
      <w:rFonts w:ascii="Segoe UI" w:eastAsia="Century Gothic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Liquidazione gettoni di presenza ai consiglieri comunali anno 2016</vt:lpstr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Liquidazione gettoni di presenza ai consiglieri comunali anno 2016</dc:title>
  <dc:creator>Manuela</dc:creator>
  <cp:lastModifiedBy>segretario.comunale</cp:lastModifiedBy>
  <cp:revision>3</cp:revision>
  <cp:lastPrinted>2017-11-17T14:32:00Z</cp:lastPrinted>
  <dcterms:created xsi:type="dcterms:W3CDTF">2017-11-17T14:10:00Z</dcterms:created>
  <dcterms:modified xsi:type="dcterms:W3CDTF">2017-11-17T14:37:00Z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2017-11-17T00:00:00Z</vt:filetime>
  </property>
</Properties>
</file>