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62" w:rsidRPr="002A3D62" w:rsidRDefault="002A3D62" w:rsidP="002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32"/>
          <w:szCs w:val="20"/>
          <w:lang w:eastAsia="it-IT"/>
        </w:rPr>
      </w:pPr>
      <w:r w:rsidRPr="002A3D62">
        <w:rPr>
          <w:rFonts w:ascii="Century Gothic" w:eastAsia="Times New Roman" w:hAnsi="Century Gothic" w:cs="Times New Roman"/>
          <w:b/>
          <w:i/>
          <w:color w:val="000080"/>
          <w:sz w:val="32"/>
          <w:szCs w:val="20"/>
          <w:lang w:eastAsia="it-IT"/>
        </w:rPr>
        <w:t>COMUNE DI GERENZAGO</w:t>
      </w:r>
    </w:p>
    <w:p w:rsidR="002A3D62" w:rsidRPr="002A3D62" w:rsidRDefault="002A3D62" w:rsidP="002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</w:pPr>
      <w:r w:rsidRPr="002A3D62"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  <w:t>PROVINCIA DI PAVIA</w:t>
      </w:r>
    </w:p>
    <w:p w:rsidR="002A3D62" w:rsidRPr="002A3D62" w:rsidRDefault="002A3D62" w:rsidP="002A3D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</w:pPr>
      <w:r w:rsidRPr="002A3D62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  <w:t>Via XXV aprile, 17 - CAP. 27010</w:t>
      </w:r>
    </w:p>
    <w:p w:rsidR="002A3D62" w:rsidRPr="002A3D62" w:rsidRDefault="002A3D62" w:rsidP="002A3D62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it-IT"/>
        </w:rPr>
      </w:pPr>
    </w:p>
    <w:p w:rsidR="002A3D62" w:rsidRPr="002A3D62" w:rsidRDefault="002A3D62" w:rsidP="002A3D6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it-IT"/>
        </w:rPr>
      </w:pPr>
    </w:p>
    <w:p w:rsidR="002A3D62" w:rsidRPr="002A3D62" w:rsidRDefault="002A3D62" w:rsidP="002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DETERMINAZIONE </w:t>
      </w:r>
      <w:proofErr w:type="gramStart"/>
      <w:r w:rsidRPr="002A3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  Responsabile</w:t>
      </w:r>
      <w:proofErr w:type="gramEnd"/>
      <w:r w:rsidRPr="002A3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Servizio  Finanziario</w:t>
      </w:r>
    </w:p>
    <w:p w:rsidR="002A3D62" w:rsidRPr="002A3D62" w:rsidRDefault="002A3D62" w:rsidP="002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n. </w:t>
      </w:r>
      <w:r w:rsidR="005C5E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6E7E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bookmarkStart w:id="0" w:name="_GoBack"/>
      <w:bookmarkEnd w:id="0"/>
      <w:r w:rsidR="001732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A3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 w:rsidR="001732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28/08</w:t>
      </w:r>
      <w:r w:rsidRPr="002A3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/2017</w:t>
      </w:r>
    </w:p>
    <w:p w:rsidR="002A3D62" w:rsidRPr="002A3D62" w:rsidRDefault="002A3D62" w:rsidP="002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E0A" w:rsidTr="005C5E0A">
        <w:tc>
          <w:tcPr>
            <w:tcW w:w="9628" w:type="dxa"/>
          </w:tcPr>
          <w:p w:rsidR="005C5E0A" w:rsidRPr="002A3D62" w:rsidRDefault="005C5E0A" w:rsidP="005C5E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A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2A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mpegno di spesa per affidamento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incarico predisposizione </w:t>
            </w:r>
            <w:r w:rsidRPr="002A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pratica di pensione e liquidazione del trattamento di fine servizio del dipendente Valerio Gianp</w:t>
            </w:r>
            <w:r w:rsidR="00A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ietro in favore della ditta  GIC</w:t>
            </w:r>
            <w:r w:rsidRPr="002A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RAL s.r.l. – CIG Z681FAEC7B;</w:t>
            </w:r>
          </w:p>
          <w:p w:rsidR="005C5E0A" w:rsidRDefault="005C5E0A" w:rsidP="002A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5B25F6" w:rsidRPr="002A3D62" w:rsidRDefault="005B25F6" w:rsidP="005B25F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25F6" w:rsidRPr="002A3D62" w:rsidRDefault="00173254" w:rsidP="005B25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PREMESSO 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con nota pervenuta al protocollo dell’Ente n. 475 del 09/02/2017 </w:t>
      </w:r>
      <w:proofErr w:type="gramStart"/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il  Sig.</w:t>
      </w:r>
      <w:proofErr w:type="gramEnd"/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Valerio Gianpietro, nato a Villanterio il 27.05.1959, dipendente di ruolo di questa Amministrazione dal 16.06.1997, attualmente inquadrato con la qualifica di operatore ecologico, stradino, addetto manutenzione delle opere pubbliche comunali, a tempo  pieno e indeterminato – categoria giuridica B posizione economica B7, ha presentato domanda di “Pensione di anzianità anticipata” con decorrenza 01.10.2017 e cessazione del rapporto di lavoro con decorrenza 30.09.2017 (ultimo giorno di servizio lavorativo);</w:t>
      </w:r>
    </w:p>
    <w:p w:rsidR="005B25F6" w:rsidRPr="002A3D62" w:rsidRDefault="005B25F6" w:rsidP="005B25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25F6" w:rsidRPr="002A3D62" w:rsidRDefault="00173254" w:rsidP="005B25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RICHIAMATA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delibera di G.C. n.</w:t>
      </w:r>
      <w:r w:rsidR="005C5E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13/04/</w:t>
      </w:r>
      <w:proofErr w:type="gramStart"/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2017 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769E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="0010769E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quale codesta amministrazione ha preso atto della 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Risoluzione del rapporto di lavoro del dipendente Valerio Gianpietro </w:t>
      </w:r>
      <w:r w:rsidR="0010769E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5B25F6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collocamento in pensione anticipata con decorrenza dal 1° Ottobre 2017;</w:t>
      </w:r>
    </w:p>
    <w:p w:rsidR="0008323F" w:rsidRPr="002A3D62" w:rsidRDefault="0008323F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 CHE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rende necessario procedere alla predisposizione della pratica di pensione completa e alla pratica di liquidazione del trattamento di fine servizio;</w:t>
      </w:r>
    </w:p>
    <w:p w:rsidR="0008323F" w:rsidRPr="002A3D62" w:rsidRDefault="0008323F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CONSIDERATA</w:t>
      </w:r>
      <w:r w:rsidR="00173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573C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complessità della materia e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corretta compilazione dei modelli in </w:t>
      </w:r>
      <w:r w:rsidR="001732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questione richiede conoscenze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specifiche </w:t>
      </w:r>
      <w:r w:rsidR="00173254">
        <w:rPr>
          <w:rFonts w:ascii="Times New Roman" w:eastAsia="Times New Roman" w:hAnsi="Times New Roman" w:cs="Times New Roman"/>
          <w:sz w:val="24"/>
          <w:szCs w:val="24"/>
          <w:lang w:eastAsia="it-IT"/>
        </w:rPr>
        <w:t>sia di natura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 w:rsidR="0037573C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ntrattuale, che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 natura previdenziale con particolare riferimento alle norme che nel tempo si sono succedute;</w:t>
      </w:r>
    </w:p>
    <w:p w:rsidR="0008323F" w:rsidRPr="002A3D62" w:rsidRDefault="0008323F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RITENUTO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doversi avvalere della collaborazione di una società specializzata;</w:t>
      </w:r>
    </w:p>
    <w:p w:rsidR="0008323F" w:rsidRPr="002A3D62" w:rsidRDefault="0008323F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INTERPELLATE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 le seguenti ditte:</w:t>
      </w:r>
    </w:p>
    <w:p w:rsidR="0008323F" w:rsidRPr="002A3D62" w:rsidRDefault="0008323F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AGS SRL P.IVA </w:t>
      </w:r>
      <w:r w:rsidR="0037573C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09024820152, con sede legale in via S. Francesco, n. 6 Casalpusterlengo (LO) che si è resa disponibile ad eseguire il servizio richiesto per l’importo di € 720,00 oltre iva, come da preventivo pervenuto al protocollo dell’Ente n. 2313 del 6.07.2017;</w:t>
      </w:r>
    </w:p>
    <w:p w:rsidR="0008323F" w:rsidRPr="002A3D62" w:rsidRDefault="0037573C" w:rsidP="000832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A97E77">
        <w:rPr>
          <w:rFonts w:ascii="Times New Roman" w:eastAsia="Times New Roman" w:hAnsi="Times New Roman" w:cs="Times New Roman"/>
          <w:sz w:val="24"/>
          <w:szCs w:val="24"/>
          <w:lang w:eastAsia="it-IT"/>
        </w:rPr>
        <w:t>. GIC</w:t>
      </w:r>
      <w:r w:rsidR="0008323F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RAL s.r.l. P.IVA 02886380134, con sede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08323F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Via Mazzini, n. 1 Ballabio (LC) che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presentato un’offerta </w:t>
      </w:r>
      <w:r w:rsidR="0008323F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di € 250,00 oltre iva, come da preventivo pervenuto al protocollo dell’Ente n. 2422 del 18.07.2017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7573C" w:rsidRPr="002A3D62" w:rsidRDefault="0037573C" w:rsidP="0037573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RITENUTO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affidare il servizio alla società GIGRAL SRL avendo presentato la migliore offerta;</w:t>
      </w:r>
    </w:p>
    <w:p w:rsidR="0037573C" w:rsidRPr="002A3D62" w:rsidRDefault="0037573C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RICHIAMATA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deliberazione di Consiglio Comunale n. 8 del 31.03.2017, con la quale è stato approvato il Bilancio di Previsione armonizzato 2017/2019;</w:t>
      </w:r>
    </w:p>
    <w:p w:rsidR="0037573C" w:rsidRPr="002A3D62" w:rsidRDefault="0037573C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VISTA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208 del 28.12.2015 (Legge di Stabilità 2016) la quale ha introdotto una deroga per i “micro-acquisti” di beni e servizi della Pubblica Amministrazione di importo inferiore ad euro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1.000,00 stabilendo che per gli stessi non è più obbligatorio ricorrere a convenzioni CONSIP, MEPA o ad altro mercato elettronico (art. 1, comma 502 che </w:t>
      </w:r>
      <w:proofErr w:type="gram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ha  modificato</w:t>
      </w:r>
      <w:proofErr w:type="gram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l'art. 1, comma 450 della L. 296/2006);</w:t>
      </w:r>
    </w:p>
    <w:p w:rsidR="0037573C" w:rsidRPr="002A3D62" w:rsidRDefault="0037573C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inoltre, che trattandosi di fornitura di beni e / o servizi di importo inferiore ai 40.000</w:t>
      </w:r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,00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€ per l’affidamento e la relativa forma contrattuale trovano applicazione le disposizioni contenute nell’art. 36 comma 2 e nell’art.32 comma 14 del </w:t>
      </w:r>
      <w:proofErr w:type="spell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50/2016;</w:t>
      </w:r>
    </w:p>
    <w:p w:rsidR="0037573C" w:rsidRPr="002A3D62" w:rsidRDefault="007F5247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52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la ditta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Gicral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srl si trova in posizione regolare con l’assolvimento degli obblighi contributivi, come da Durc, protocollo INAIL 8558280, allegato;</w:t>
      </w:r>
    </w:p>
    <w:p w:rsidR="0037573C" w:rsidRPr="002A3D62" w:rsidRDefault="0037573C" w:rsidP="00375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VISTA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la Legge nr.136 del 13/08/2010 ed il D.L. n.187 del 12/11/2010 art.7, comma 4, che stabilisce: “ai fini della tracciabilità dei flussi finanziari, gli strumenti di pagamento devono riportare, in relazione a ciascuna transazione posta in essere dalla stazione appaltante e dagli altri soggetti di cui al comma 1, il codice identificativo di gara (CIG), attribuito dall'Autorità di vigilanza sui contratti pubblici di lavori, servizi e forniture su richiesta della stazione appaltante...”;</w:t>
      </w: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proofErr w:type="spell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 agosto 2000, n. 267;</w:t>
      </w: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proofErr w:type="spell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50/2016;</w:t>
      </w: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Visti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Statuto Comunale ed il vigente regolamento comunale di contabilità; </w:t>
      </w:r>
    </w:p>
    <w:p w:rsidR="002A3D62" w:rsidRPr="002A3D62" w:rsidRDefault="002A3D62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2A3D62" w:rsidP="002A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propria competenza come da poteri conferiti con Deliberazione di G.C. n. 61 del 10.06.2014;</w:t>
      </w:r>
    </w:p>
    <w:p w:rsidR="002A3D62" w:rsidRPr="002A3D62" w:rsidRDefault="002A3D62" w:rsidP="002A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32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visto di regolarità contabile attestante la copertura finanziaria è riportato in calce al presente atto e si intende qua inserito ad ogni effetto;</w:t>
      </w: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ciò premesso,</w:t>
      </w:r>
    </w:p>
    <w:p w:rsidR="0037573C" w:rsidRPr="002A3D62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C017DF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17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DETERMINA</w:t>
      </w:r>
    </w:p>
    <w:p w:rsidR="0037573C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17DF" w:rsidRPr="002A3D62" w:rsidRDefault="00C017DF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Default="0037573C" w:rsidP="002A3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approvare, per le motivazioni espresse in premessa che qui si intendono integralmente riportate, il preventivo di spesa di </w:t>
      </w:r>
      <w:r w:rsidR="00A97E77">
        <w:rPr>
          <w:rFonts w:ascii="Times New Roman" w:eastAsia="Times New Roman" w:hAnsi="Times New Roman" w:cs="Times New Roman"/>
          <w:sz w:val="24"/>
          <w:szCs w:val="24"/>
          <w:lang w:eastAsia="it-IT"/>
        </w:rPr>
        <w:t>GIC</w:t>
      </w:r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RAL s.r.l. P.IVA 02886380134, con sede legale in Via Mazzini, n. 1 Ballabio (LC) dell’importo di € 250,00 oltre Iva, pervenuto al protocollo dell’Ente n. 2422 del 18.07.2017, </w:t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affidando alla medesima </w:t>
      </w:r>
      <w:r w:rsid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l’incarico di predisporre la</w:t>
      </w:r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pratica di pensione e liquidazione del trattamento di fine servizio </w:t>
      </w:r>
      <w:r w:rsid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del dipendente Gianpietro Valerio;</w:t>
      </w:r>
    </w:p>
    <w:p w:rsidR="002A3D62" w:rsidRPr="0037573C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C01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impegnare conseguentemente in favore di </w:t>
      </w:r>
      <w:r w:rsidR="00A97E77">
        <w:rPr>
          <w:rFonts w:ascii="Times New Roman" w:eastAsia="Times New Roman" w:hAnsi="Times New Roman" w:cs="Times New Roman"/>
          <w:sz w:val="24"/>
          <w:szCs w:val="24"/>
          <w:lang w:eastAsia="it-IT"/>
        </w:rPr>
        <w:t>GIC</w:t>
      </w:r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RAL s.r.l. P.IVA 02886380134, con sede legale in Via Mazzini, n. 1 Ballabio (LC),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la somma di €</w:t>
      </w:r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305,00 iva compresa</w:t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imputando la spesa sul codice n. </w:t>
      </w:r>
      <w:r w:rsidR="008028A0">
        <w:rPr>
          <w:rFonts w:ascii="Times New Roman" w:eastAsia="Times New Roman" w:hAnsi="Times New Roman" w:cs="Times New Roman"/>
          <w:sz w:val="24"/>
          <w:szCs w:val="24"/>
          <w:lang w:eastAsia="it-IT"/>
        </w:rPr>
        <w:t>01.02.1-U.</w:t>
      </w:r>
      <w:r w:rsidR="00C017DF" w:rsidRP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1.03.02.16.999</w:t>
      </w:r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02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115/6 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Pr="0037573C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 di Previsione esercizio finanziario 2017;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dare atto che è stato acquisito il seguente </w:t>
      </w:r>
      <w:proofErr w:type="gram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CIG:</w:t>
      </w:r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proofErr w:type="gramEnd"/>
      <w:r w:rsidR="002A3D62"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681FAEC7B</w:t>
      </w: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provvedere alle liquidazione della fattura previa verifica della regolarità contabile della stessa, dando atto che la stessa è esente IVA ai sensi dell’art. 10 del D.P.R. n. 633/1972;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dare atto che il contratto con l’operatore economico viene stipulato mediante l’invio di corrispondenza, secondo l'uso del commercio ai sensi dell’articolo 32 comma 14 del </w:t>
      </w:r>
      <w:proofErr w:type="spell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50/2016;</w:t>
      </w:r>
    </w:p>
    <w:p w:rsidR="002A3D62" w:rsidRPr="002A3D62" w:rsidRDefault="002A3D62" w:rsidP="002A3D6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attribuire valore contrattuale alla presente determina dirigenziale in base all'art. 192 del D. </w:t>
      </w:r>
      <w:proofErr w:type="spellStart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 agosto 2000 n. 267 T.U della legge sull'Ordinamento degli Enti Locali, determina che sarà successivamente inviata in copia alla ditta affidataria;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precisare che la fatturazione dovrà avvenire tramite “fatturazione elettronica” secondo le disposizioni di cui alla Legge 244/2007 e DM n.55 del 3 aprile 2013 indicando il CODICE UNIVOCO UFFICIO: UFU6JN;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determinazione, ai fini della pubblicità degli atti e della trasparenza amministrativa, è pubblicata all’albo pretorio comunale per 15 giorni consecutivi;</w:t>
      </w:r>
    </w:p>
    <w:p w:rsidR="00173254" w:rsidRDefault="00173254" w:rsidP="0017325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3254" w:rsidRPr="002A3D62" w:rsidRDefault="00173254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dare atto che la presente determina diverrà esecutiva con l</w:t>
      </w:r>
      <w:r w:rsidR="00C017DF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apposizione del visto di regolarità contabile;</w:t>
      </w:r>
    </w:p>
    <w:p w:rsidR="002A3D62" w:rsidRPr="002A3D62" w:rsidRDefault="002A3D62" w:rsidP="002A3D6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2A3D62" w:rsidRDefault="0037573C" w:rsidP="00375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dare atto che il Responsabile del presente procedimento è il sottoscritto Daniele Mandrini, Responsabile dell’Ufficio Finanziario. </w:t>
      </w:r>
    </w:p>
    <w:p w:rsidR="0037573C" w:rsidRDefault="0037573C" w:rsidP="0037573C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330BA" w:rsidRDefault="009330BA" w:rsidP="0037573C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330BA" w:rsidRPr="0037573C" w:rsidRDefault="009330BA" w:rsidP="0037573C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7573C" w:rsidRPr="0037573C" w:rsidRDefault="0037573C" w:rsidP="0037573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Il Responsabile dell’Ufficio Finanziario</w:t>
      </w:r>
    </w:p>
    <w:p w:rsidR="0037573C" w:rsidRPr="0037573C" w:rsidRDefault="0037573C" w:rsidP="0037573C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Daniele Mandrini</w:t>
      </w:r>
    </w:p>
    <w:p w:rsidR="0037573C" w:rsidRDefault="0037573C" w:rsidP="0037573C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after="0" w:line="240" w:lineRule="atLeast"/>
        <w:ind w:left="360" w:right="36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9330BA" w:rsidRDefault="009330BA" w:rsidP="0037573C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after="0" w:line="240" w:lineRule="atLeast"/>
        <w:ind w:left="360" w:right="36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9330BA" w:rsidRDefault="009330BA" w:rsidP="0037573C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after="0" w:line="240" w:lineRule="atLeast"/>
        <w:ind w:left="360" w:right="36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9330BA" w:rsidRDefault="009330BA" w:rsidP="0037573C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after="0" w:line="240" w:lineRule="atLeast"/>
        <w:ind w:left="360" w:right="36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9330BA" w:rsidRPr="0037573C" w:rsidRDefault="009330BA" w:rsidP="0037573C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after="0" w:line="240" w:lineRule="atLeast"/>
        <w:ind w:left="360" w:right="36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37573C" w:rsidRPr="0037573C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*************</w:t>
      </w:r>
    </w:p>
    <w:p w:rsidR="009330BA" w:rsidRDefault="009330BA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7573C" w:rsidRPr="0037573C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SERVIZIO FINANZIARIO</w:t>
      </w:r>
    </w:p>
    <w:p w:rsidR="0037573C" w:rsidRPr="0037573C" w:rsidRDefault="0037573C" w:rsidP="00375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375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it-IT"/>
          </w:rPr>
          <w:t>la Deliberazione</w:t>
        </w:r>
      </w:smartTag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G.C. n. 61 del 10.06.2014, con la quale è stata attribuita la competenza si appone:</w:t>
      </w:r>
    </w:p>
    <w:p w:rsidR="0037573C" w:rsidRPr="0037573C" w:rsidRDefault="0037573C" w:rsidP="003757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parere favorevole in ordine alla regolarità tecnica e contabile, ai sensi dell’art. 147 bis del TUEL n. 267/2000 e </w:t>
      </w:r>
      <w:proofErr w:type="spellStart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37573C" w:rsidRPr="0037573C" w:rsidRDefault="0037573C" w:rsidP="003757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</w:t>
      </w:r>
      <w:proofErr w:type="gramEnd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regolarità contabile attestante la copertura finanziaria della spesa cui si riferisce, ai sensi dell’art. 183 comma 7  del D. </w:t>
      </w:r>
      <w:proofErr w:type="spellStart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18 agosto 2000, n. 267 e </w:t>
      </w:r>
      <w:proofErr w:type="spellStart"/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</w:p>
    <w:p w:rsidR="0037573C" w:rsidRPr="0037573C" w:rsidRDefault="0037573C" w:rsidP="003757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7573C" w:rsidRPr="0037573C" w:rsidRDefault="0037573C" w:rsidP="00375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RESPONSABILE DEL SERVIZIO FINANZIARIO</w:t>
      </w:r>
    </w:p>
    <w:p w:rsidR="0037573C" w:rsidRPr="0037573C" w:rsidRDefault="0037573C" w:rsidP="0037573C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it-IT"/>
        </w:rPr>
      </w:pPr>
      <w:r w:rsidRPr="00375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Daniele Mandrini</w:t>
      </w:r>
    </w:p>
    <w:p w:rsidR="0037573C" w:rsidRPr="0037573C" w:rsidRDefault="0037573C" w:rsidP="0037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73C" w:rsidRPr="0037573C" w:rsidRDefault="0037573C" w:rsidP="0037573C">
      <w:pPr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0"/>
          <w:lang w:eastAsia="it-IT"/>
        </w:rPr>
      </w:pPr>
    </w:p>
    <w:p w:rsidR="009A10A2" w:rsidRDefault="009A10A2" w:rsidP="0037573C">
      <w:pPr>
        <w:jc w:val="both"/>
      </w:pPr>
    </w:p>
    <w:sectPr w:rsidR="009A1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363"/>
    <w:multiLevelType w:val="hybridMultilevel"/>
    <w:tmpl w:val="8DCAE8BA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F6"/>
    <w:rsid w:val="0008323F"/>
    <w:rsid w:val="0010769E"/>
    <w:rsid w:val="00173254"/>
    <w:rsid w:val="002A3D62"/>
    <w:rsid w:val="0037573C"/>
    <w:rsid w:val="005B25F6"/>
    <w:rsid w:val="005C5E0A"/>
    <w:rsid w:val="006E7EE8"/>
    <w:rsid w:val="007F5247"/>
    <w:rsid w:val="008028A0"/>
    <w:rsid w:val="009330BA"/>
    <w:rsid w:val="009A10A2"/>
    <w:rsid w:val="00A97E77"/>
    <w:rsid w:val="00C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B0FB-CAA9-4199-8E21-4CB19A8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Maria Ester Tinelli</cp:lastModifiedBy>
  <cp:revision>5</cp:revision>
  <cp:lastPrinted>2017-08-25T10:01:00Z</cp:lastPrinted>
  <dcterms:created xsi:type="dcterms:W3CDTF">2017-08-25T10:02:00Z</dcterms:created>
  <dcterms:modified xsi:type="dcterms:W3CDTF">2017-08-25T14:31:00Z</dcterms:modified>
</cp:coreProperties>
</file>