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A0" w:rsidRPr="003D70A0" w:rsidRDefault="003D70A0" w:rsidP="003D70A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Cs w:val="0"/>
          <w:i/>
          <w:smallCaps w:val="0"/>
          <w:color w:val="000080"/>
          <w:sz w:val="32"/>
        </w:rPr>
      </w:pPr>
      <w:r w:rsidRPr="003D70A0">
        <w:rPr>
          <w:rFonts w:ascii="Century Gothic" w:hAnsi="Century Gothic" w:cs="Times New Roman"/>
          <w:bCs w:val="0"/>
          <w:i/>
          <w:smallCaps w:val="0"/>
          <w:color w:val="000080"/>
          <w:sz w:val="32"/>
        </w:rPr>
        <w:t>COMUNE DI GERENZAGO</w:t>
      </w:r>
    </w:p>
    <w:p w:rsidR="003D70A0" w:rsidRPr="003D70A0" w:rsidRDefault="003D70A0" w:rsidP="003D70A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 w:val="0"/>
          <w:bCs w:val="0"/>
          <w:smallCaps w:val="0"/>
          <w:color w:val="000080"/>
          <w:sz w:val="24"/>
        </w:rPr>
      </w:pPr>
      <w:r w:rsidRPr="003D70A0">
        <w:rPr>
          <w:rFonts w:ascii="Times New Roman" w:hAnsi="Times New Roman" w:cs="Times New Roman"/>
          <w:b w:val="0"/>
          <w:bCs w:val="0"/>
          <w:smallCaps w:val="0"/>
          <w:color w:val="000080"/>
          <w:sz w:val="24"/>
        </w:rPr>
        <w:t>PROVINCIA DI PAVIA</w:t>
      </w:r>
    </w:p>
    <w:p w:rsidR="003D70A0" w:rsidRPr="003D70A0" w:rsidRDefault="003D70A0" w:rsidP="003D70A0">
      <w:pPr>
        <w:keepNext/>
        <w:overflowPunct/>
        <w:autoSpaceDE/>
        <w:autoSpaceDN/>
        <w:adjustRightInd/>
        <w:jc w:val="center"/>
        <w:textAlignment w:val="auto"/>
        <w:outlineLvl w:val="7"/>
        <w:rPr>
          <w:rFonts w:ascii="Times New Roman" w:hAnsi="Times New Roman" w:cs="Times New Roman"/>
          <w:bCs w:val="0"/>
          <w:smallCaps w:val="0"/>
          <w:color w:val="000080"/>
        </w:rPr>
      </w:pPr>
      <w:r w:rsidRPr="003D70A0">
        <w:rPr>
          <w:rFonts w:ascii="Times New Roman" w:hAnsi="Times New Roman" w:cs="Times New Roman"/>
          <w:bCs w:val="0"/>
          <w:smallCaps w:val="0"/>
          <w:color w:val="000080"/>
        </w:rPr>
        <w:t>Via XXV aprile, 17 - CAP. 27010</w:t>
      </w:r>
    </w:p>
    <w:p w:rsidR="003D70A0" w:rsidRPr="003D70A0" w:rsidRDefault="003D70A0" w:rsidP="003D70A0">
      <w:pPr>
        <w:overflowPunct/>
        <w:autoSpaceDE/>
        <w:autoSpaceDN/>
        <w:adjustRightInd/>
        <w:textAlignment w:val="auto"/>
        <w:rPr>
          <w:rFonts w:ascii="Arial" w:hAnsi="Arial" w:cs="Arial"/>
          <w:b w:val="0"/>
          <w:bCs w:val="0"/>
          <w:smallCaps w:val="0"/>
          <w:color w:val="000000"/>
          <w:sz w:val="22"/>
        </w:rPr>
      </w:pPr>
    </w:p>
    <w:p w:rsidR="003D70A0" w:rsidRPr="003D70A0" w:rsidRDefault="003D70A0" w:rsidP="003D70A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3D70A0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DETERMINAZIONE </w:t>
      </w:r>
      <w:proofErr w:type="gramStart"/>
      <w:r w:rsidRPr="003D70A0">
        <w:rPr>
          <w:rFonts w:ascii="Times New Roman" w:hAnsi="Times New Roman" w:cs="Times New Roman"/>
          <w:smallCaps w:val="0"/>
          <w:color w:val="000000"/>
          <w:sz w:val="24"/>
          <w:szCs w:val="24"/>
        </w:rPr>
        <w:t>del  Responsabile</w:t>
      </w:r>
      <w:proofErr w:type="gramEnd"/>
      <w:r w:rsidRPr="003D70A0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 Servizio  Finanziario</w:t>
      </w:r>
    </w:p>
    <w:p w:rsidR="003D70A0" w:rsidRPr="003D70A0" w:rsidRDefault="003D70A0" w:rsidP="003D70A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smallCaps w:val="0"/>
          <w:sz w:val="24"/>
          <w:szCs w:val="24"/>
        </w:rPr>
      </w:pPr>
      <w:r w:rsidRPr="003D70A0">
        <w:rPr>
          <w:rFonts w:ascii="Times New Roman" w:hAnsi="Times New Roman" w:cs="Times New Roman"/>
          <w:smallCaps w:val="0"/>
          <w:sz w:val="24"/>
          <w:szCs w:val="24"/>
        </w:rPr>
        <w:t xml:space="preserve">N.   </w:t>
      </w:r>
      <w:proofErr w:type="gramStart"/>
      <w:r>
        <w:rPr>
          <w:rFonts w:ascii="Times New Roman" w:hAnsi="Times New Roman" w:cs="Times New Roman"/>
          <w:smallCaps w:val="0"/>
          <w:sz w:val="24"/>
          <w:szCs w:val="24"/>
        </w:rPr>
        <w:t>3</w:t>
      </w:r>
      <w:r w:rsidR="00B40400">
        <w:rPr>
          <w:rFonts w:ascii="Times New Roman" w:hAnsi="Times New Roman" w:cs="Times New Roman"/>
          <w:smallCaps w:val="0"/>
          <w:sz w:val="24"/>
          <w:szCs w:val="24"/>
        </w:rPr>
        <w:t>4</w:t>
      </w:r>
      <w:r w:rsidRPr="003D70A0">
        <w:rPr>
          <w:rFonts w:ascii="Times New Roman" w:hAnsi="Times New Roman" w:cs="Times New Roman"/>
          <w:smallCaps w:val="0"/>
          <w:sz w:val="24"/>
          <w:szCs w:val="24"/>
        </w:rPr>
        <w:t xml:space="preserve">  del</w:t>
      </w:r>
      <w:proofErr w:type="gramEnd"/>
      <w:r w:rsidRPr="003D70A0">
        <w:rPr>
          <w:rFonts w:ascii="Times New Roman" w:hAnsi="Times New Roman" w:cs="Times New Roman"/>
          <w:smallCap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mallCaps w:val="0"/>
          <w:sz w:val="24"/>
          <w:szCs w:val="24"/>
        </w:rPr>
        <w:t>2</w:t>
      </w:r>
      <w:r w:rsidR="00AB33C6">
        <w:rPr>
          <w:rFonts w:ascii="Times New Roman" w:hAnsi="Times New Roman" w:cs="Times New Roman"/>
          <w:smallCaps w:val="0"/>
          <w:sz w:val="24"/>
          <w:szCs w:val="24"/>
        </w:rPr>
        <w:t>8</w:t>
      </w:r>
      <w:r w:rsidRPr="003D70A0">
        <w:rPr>
          <w:rFonts w:ascii="Times New Roman" w:hAnsi="Times New Roman" w:cs="Times New Roman"/>
          <w:smallCaps w:val="0"/>
          <w:sz w:val="24"/>
          <w:szCs w:val="24"/>
        </w:rPr>
        <w:t>/03/2017</w:t>
      </w:r>
    </w:p>
    <w:p w:rsidR="003D70A0" w:rsidRPr="003D70A0" w:rsidRDefault="003D70A0" w:rsidP="003D70A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4"/>
          <w:szCs w:val="24"/>
        </w:rPr>
      </w:pPr>
    </w:p>
    <w:p w:rsidR="003D70A0" w:rsidRPr="003D70A0" w:rsidRDefault="003D70A0" w:rsidP="003D70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4"/>
          <w:szCs w:val="24"/>
          <w:lang w:eastAsia="zh-CN"/>
        </w:rPr>
      </w:pPr>
      <w:r w:rsidRPr="003D70A0">
        <w:rPr>
          <w:rFonts w:ascii="Times New Roman" w:hAnsi="Times New Roman" w:cs="Times New Roman"/>
          <w:smallCaps w:val="0"/>
          <w:color w:val="000000"/>
          <w:sz w:val="22"/>
          <w:szCs w:val="22"/>
        </w:rPr>
        <w:t xml:space="preserve">Oggetto: </w:t>
      </w:r>
      <w:r w:rsidR="005F4661">
        <w:rPr>
          <w:rFonts w:ascii="Arial" w:hAnsi="Arial" w:cs="Arial"/>
          <w:smallCaps w:val="0"/>
          <w:snapToGrid w:val="0"/>
        </w:rPr>
        <w:t xml:space="preserve">Art. 228 comma 3 </w:t>
      </w:r>
      <w:proofErr w:type="spellStart"/>
      <w:r w:rsidR="005F4661">
        <w:rPr>
          <w:rFonts w:ascii="Arial" w:hAnsi="Arial" w:cs="Arial"/>
          <w:smallCaps w:val="0"/>
          <w:snapToGrid w:val="0"/>
        </w:rPr>
        <w:t>D.Lgs.</w:t>
      </w:r>
      <w:proofErr w:type="spellEnd"/>
      <w:r w:rsidR="005F4661">
        <w:rPr>
          <w:rFonts w:ascii="Arial" w:hAnsi="Arial" w:cs="Arial"/>
          <w:smallCaps w:val="0"/>
          <w:snapToGrid w:val="0"/>
        </w:rPr>
        <w:t xml:space="preserve"> 18 agosto 2000 n. 267 rendiconto anno 2016 </w:t>
      </w:r>
      <w:proofErr w:type="spellStart"/>
      <w:r w:rsidR="005F4661">
        <w:rPr>
          <w:rFonts w:ascii="Arial" w:hAnsi="Arial" w:cs="Arial"/>
          <w:smallCaps w:val="0"/>
          <w:snapToGrid w:val="0"/>
        </w:rPr>
        <w:t>riaccertamento</w:t>
      </w:r>
      <w:proofErr w:type="spellEnd"/>
      <w:r w:rsidR="005F4661">
        <w:rPr>
          <w:rFonts w:ascii="Arial" w:hAnsi="Arial" w:cs="Arial"/>
          <w:smallCaps w:val="0"/>
          <w:snapToGrid w:val="0"/>
        </w:rPr>
        <w:t xml:space="preserve"> residui attivi e passivi al 31.12.2016</w:t>
      </w:r>
      <w:r w:rsidRPr="003D70A0">
        <w:rPr>
          <w:rFonts w:ascii="Times New Roman" w:hAnsi="Times New Roman" w:cs="Times New Roman"/>
          <w:b w:val="0"/>
          <w:bCs w:val="0"/>
          <w:smallCaps w:val="0"/>
          <w:color w:val="000000"/>
          <w:sz w:val="24"/>
          <w:szCs w:val="24"/>
          <w:lang w:eastAsia="zh-CN"/>
        </w:rPr>
        <w:t>.</w:t>
      </w:r>
    </w:p>
    <w:p w:rsidR="003D70A0" w:rsidRPr="003D70A0" w:rsidRDefault="003D70A0" w:rsidP="003D70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4"/>
          <w:szCs w:val="24"/>
          <w:lang w:eastAsia="zh-CN"/>
        </w:rPr>
      </w:pPr>
    </w:p>
    <w:p w:rsidR="003D70A0" w:rsidRPr="003D70A0" w:rsidRDefault="003D70A0" w:rsidP="003D70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</w:p>
    <w:p w:rsidR="003D70A0" w:rsidRPr="003D70A0" w:rsidRDefault="003D70A0" w:rsidP="003D70A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r w:rsidRPr="003D70A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L’anno </w:t>
      </w:r>
      <w:proofErr w:type="spellStart"/>
      <w:r w:rsidRPr="003D70A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Duemiladiciassette</w:t>
      </w:r>
      <w:proofErr w:type="spellEnd"/>
      <w:r w:rsidRPr="003D70A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il giorno </w:t>
      </w:r>
      <w:r w:rsidR="005F4661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vent</w:t>
      </w:r>
      <w:r w:rsidR="00AB33C6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otto</w:t>
      </w:r>
      <w:r w:rsidRPr="003D70A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del mese di marzo nella Casa Comunale e nella sua stanza</w:t>
      </w:r>
    </w:p>
    <w:p w:rsidR="003D70A0" w:rsidRPr="003D70A0" w:rsidRDefault="003D70A0" w:rsidP="003D70A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</w:p>
    <w:p w:rsidR="003D70A0" w:rsidRPr="003D70A0" w:rsidRDefault="003D70A0" w:rsidP="003D70A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Cs w:val="0"/>
          <w:smallCaps w:val="0"/>
          <w:color w:val="000000"/>
          <w:sz w:val="22"/>
          <w:szCs w:val="22"/>
        </w:rPr>
      </w:pPr>
      <w:r w:rsidRPr="003D70A0">
        <w:rPr>
          <w:rFonts w:ascii="Times New Roman" w:hAnsi="Times New Roman" w:cs="Times New Roman"/>
          <w:bCs w:val="0"/>
          <w:smallCaps w:val="0"/>
          <w:color w:val="000000"/>
          <w:sz w:val="22"/>
          <w:szCs w:val="22"/>
        </w:rPr>
        <w:t>Il Responsabile Servizio Finanziario</w:t>
      </w: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smallCaps w:val="0"/>
          <w:sz w:val="22"/>
          <w:szCs w:val="22"/>
        </w:rPr>
        <w:tab/>
        <w:t>DATO ATTO CHE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con Decreto Legislativo n. 118 del 23.06.2011, recante disposizioni in materia di armonizzazione dei sistemi contabili e degli schemi di bilancio delle Regioni, degli Enti Locali e dei loro organismi, sono stati individuati i principi contabili fondamentali del coordinamento della finanza pubblica ai sensi dell’art. 117 – c. 3 - della Costituzione;</w:t>
      </w: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mallCaps w:val="0"/>
          <w:sz w:val="22"/>
          <w:szCs w:val="22"/>
        </w:rPr>
      </w:pPr>
    </w:p>
    <w:p w:rsidR="00BE0864" w:rsidRPr="00241640" w:rsidRDefault="00BE086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smallCaps w:val="0"/>
          <w:sz w:val="22"/>
          <w:szCs w:val="22"/>
        </w:rPr>
        <w:t xml:space="preserve">RICHIAMATO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il </w:t>
      </w:r>
      <w:proofErr w:type="spell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D.Lgs.</w:t>
      </w:r>
      <w:proofErr w:type="spell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10 agosto 2014 n. 126 che ha modificato ed integrato il </w:t>
      </w:r>
      <w:proofErr w:type="spell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D.Lgs.</w:t>
      </w:r>
      <w:proofErr w:type="spell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23 giugno 2011 n. 118, con riferimento ai sistemi contabili ed agli schemi di bilancio delle Regioni, degli enti locali e dei loro organismi, a norma degli articoli 1 e 2 della legge 5 maggio 2009, n. 42;</w:t>
      </w: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ab/>
      </w:r>
      <w:r w:rsidRPr="00241640">
        <w:rPr>
          <w:rFonts w:ascii="Times New Roman" w:hAnsi="Times New Roman" w:cs="Times New Roman"/>
          <w:smallCaps w:val="0"/>
          <w:sz w:val="22"/>
          <w:szCs w:val="22"/>
        </w:rPr>
        <w:t>DATO ATTO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che, pertanto, con decorrenza 01.01.2015 è entrata in vigore la nuova contabilità armonizzata di cui al citato D.lgs. 118/2011;</w:t>
      </w: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ab/>
      </w:r>
      <w:r w:rsidRPr="00241640">
        <w:rPr>
          <w:rFonts w:ascii="Times New Roman" w:hAnsi="Times New Roman" w:cs="Times New Roman"/>
          <w:smallCaps w:val="0"/>
          <w:sz w:val="22"/>
          <w:szCs w:val="22"/>
        </w:rPr>
        <w:t>RICHIAMATO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l’art. 228 comma 3 del </w:t>
      </w:r>
      <w:proofErr w:type="spell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D.Lgs</w:t>
      </w:r>
      <w:proofErr w:type="spell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267/2000 che prescrive: “</w:t>
      </w:r>
      <w:r w:rsidRPr="00241640">
        <w:rPr>
          <w:rFonts w:ascii="Times New Roman" w:hAnsi="Times New Roman" w:cs="Times New Roman"/>
          <w:b w:val="0"/>
          <w:bCs w:val="0"/>
          <w:i/>
          <w:iCs/>
          <w:smallCaps w:val="0"/>
          <w:sz w:val="22"/>
          <w:szCs w:val="22"/>
        </w:rPr>
        <w:t xml:space="preserve">Prima dell’inserimento nel conto del bilancio dei residui attivi e passivi l’ente locale provvede all’operazione di accertamento degli stessi, consistente nella revisione delle ragioni del mantenimento in tutto o in parte dei residui e della corretta imputazione in bilancio, secondo le </w:t>
      </w:r>
      <w:proofErr w:type="gramStart"/>
      <w:r w:rsidRPr="00241640">
        <w:rPr>
          <w:rFonts w:ascii="Times New Roman" w:hAnsi="Times New Roman" w:cs="Times New Roman"/>
          <w:b w:val="0"/>
          <w:bCs w:val="0"/>
          <w:i/>
          <w:iCs/>
          <w:smallCaps w:val="0"/>
          <w:sz w:val="22"/>
          <w:szCs w:val="22"/>
        </w:rPr>
        <w:t>modalità  di</w:t>
      </w:r>
      <w:proofErr w:type="gramEnd"/>
      <w:r w:rsidRPr="00241640">
        <w:rPr>
          <w:rFonts w:ascii="Times New Roman" w:hAnsi="Times New Roman" w:cs="Times New Roman"/>
          <w:b w:val="0"/>
          <w:bCs w:val="0"/>
          <w:i/>
          <w:iCs/>
          <w:smallCaps w:val="0"/>
          <w:sz w:val="22"/>
          <w:szCs w:val="22"/>
        </w:rPr>
        <w:t xml:space="preserve">  cui  all'art. 3, comma  4,  del decreto  legislativo  23  giugno  2011,   n.  </w:t>
      </w:r>
      <w:proofErr w:type="gramStart"/>
      <w:r w:rsidRPr="00241640">
        <w:rPr>
          <w:rFonts w:ascii="Times New Roman" w:hAnsi="Times New Roman" w:cs="Times New Roman"/>
          <w:b w:val="0"/>
          <w:bCs w:val="0"/>
          <w:i/>
          <w:iCs/>
          <w:smallCaps w:val="0"/>
          <w:sz w:val="22"/>
          <w:szCs w:val="22"/>
        </w:rPr>
        <w:t>118,  e</w:t>
      </w:r>
      <w:proofErr w:type="gramEnd"/>
      <w:r w:rsidRPr="00241640">
        <w:rPr>
          <w:rFonts w:ascii="Times New Roman" w:hAnsi="Times New Roman" w:cs="Times New Roman"/>
          <w:b w:val="0"/>
          <w:bCs w:val="0"/>
          <w:i/>
          <w:iCs/>
          <w:smallCaps w:val="0"/>
          <w:sz w:val="22"/>
          <w:szCs w:val="22"/>
        </w:rPr>
        <w:t xml:space="preserve">  successive modificazioni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”;</w:t>
      </w:r>
    </w:p>
    <w:p w:rsidR="00BE0864" w:rsidRPr="00241640" w:rsidRDefault="00BE0864">
      <w:pPr>
        <w:pStyle w:val="rtf1BodyText"/>
        <w:jc w:val="both"/>
        <w:rPr>
          <w:rFonts w:ascii="Times New Roman" w:hAnsi="Times New Roman"/>
          <w:sz w:val="22"/>
          <w:szCs w:val="22"/>
          <w:highlight w:val="red"/>
        </w:rPr>
      </w:pPr>
    </w:p>
    <w:p w:rsidR="00BE0864" w:rsidRPr="00241640" w:rsidRDefault="00BE086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smallCaps w:val="0"/>
          <w:sz w:val="22"/>
          <w:szCs w:val="22"/>
        </w:rPr>
        <w:t xml:space="preserve">DATO ATTO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che sono state effettuate le necessarie verifiche sulla scorta della documentazione in possesso di questo ufficio e delle scritture contabili, nonché delle informazioni richieste ai vari Servizi comunali, ai fini della determinazione delle somme da conservare nel conto dei residui alla data del 31.12.2016;</w:t>
      </w:r>
    </w:p>
    <w:p w:rsidR="005F4661" w:rsidRPr="00241640" w:rsidRDefault="005F4661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5F4661" w:rsidRPr="00241640" w:rsidRDefault="00BE0864">
      <w:pPr>
        <w:pStyle w:val="rtf1BodyTextIndent"/>
        <w:ind w:firstLine="0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241640">
        <w:rPr>
          <w:rFonts w:ascii="Times New Roman" w:hAnsi="Times New Roman"/>
          <w:i w:val="0"/>
          <w:iCs w:val="0"/>
          <w:sz w:val="22"/>
          <w:szCs w:val="22"/>
        </w:rPr>
        <w:tab/>
      </w:r>
      <w:r w:rsidR="005F4661" w:rsidRPr="00241640">
        <w:rPr>
          <w:rFonts w:ascii="Times New Roman" w:hAnsi="Times New Roman"/>
          <w:b/>
          <w:i w:val="0"/>
          <w:iCs w:val="0"/>
          <w:sz w:val="22"/>
          <w:szCs w:val="22"/>
        </w:rPr>
        <w:t xml:space="preserve">DATO ATTO </w:t>
      </w:r>
      <w:r w:rsidR="005F4661" w:rsidRPr="00241640">
        <w:rPr>
          <w:rFonts w:ascii="Times New Roman" w:hAnsi="Times New Roman"/>
          <w:i w:val="0"/>
          <w:iCs w:val="0"/>
          <w:sz w:val="22"/>
          <w:szCs w:val="22"/>
        </w:rPr>
        <w:t xml:space="preserve">che con determinazione n. 28 del 09/03/2016 è stato effettuato un </w:t>
      </w:r>
      <w:proofErr w:type="spellStart"/>
      <w:r w:rsidR="005F4661" w:rsidRPr="00241640">
        <w:rPr>
          <w:rFonts w:ascii="Times New Roman" w:hAnsi="Times New Roman"/>
          <w:i w:val="0"/>
          <w:iCs w:val="0"/>
          <w:sz w:val="22"/>
          <w:szCs w:val="22"/>
        </w:rPr>
        <w:t>riaccertamento</w:t>
      </w:r>
      <w:proofErr w:type="spellEnd"/>
      <w:r w:rsidR="005F4661" w:rsidRPr="00241640">
        <w:rPr>
          <w:rFonts w:ascii="Times New Roman" w:hAnsi="Times New Roman"/>
          <w:i w:val="0"/>
          <w:iCs w:val="0"/>
          <w:sz w:val="22"/>
          <w:szCs w:val="22"/>
        </w:rPr>
        <w:t xml:space="preserve"> parziale dei residui anno 2016 per verificarne l’esigibilità a scopo di costituire il Fondo Pluriennale Vincolato a valere sul Bilancio armonizzato 2017/2019;</w:t>
      </w:r>
    </w:p>
    <w:p w:rsidR="00C8670C" w:rsidRPr="00241640" w:rsidRDefault="00C8670C" w:rsidP="00C8670C">
      <w:pPr>
        <w:pStyle w:val="rtf1BodyTextIndent"/>
        <w:ind w:firstLine="708"/>
        <w:jc w:val="both"/>
        <w:rPr>
          <w:rFonts w:ascii="Times New Roman" w:eastAsia="Times New Roman" w:hAnsi="Times New Roman"/>
          <w:b/>
          <w:i w:val="0"/>
          <w:iCs w:val="0"/>
          <w:sz w:val="22"/>
          <w:szCs w:val="22"/>
        </w:rPr>
      </w:pPr>
    </w:p>
    <w:p w:rsidR="00BE0864" w:rsidRPr="00241640" w:rsidRDefault="00C8670C" w:rsidP="00C8670C">
      <w:pPr>
        <w:pStyle w:val="rtf1BodyTextIndent"/>
        <w:ind w:firstLine="708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00241640">
        <w:rPr>
          <w:rFonts w:ascii="Times New Roman" w:eastAsia="Times New Roman" w:hAnsi="Times New Roman"/>
          <w:b/>
          <w:i w:val="0"/>
          <w:iCs w:val="0"/>
          <w:sz w:val="22"/>
          <w:szCs w:val="22"/>
        </w:rPr>
        <w:t xml:space="preserve">DATO </w:t>
      </w:r>
      <w:proofErr w:type="gramStart"/>
      <w:r w:rsidRPr="00241640">
        <w:rPr>
          <w:rFonts w:ascii="Times New Roman" w:eastAsia="Times New Roman" w:hAnsi="Times New Roman"/>
          <w:b/>
          <w:i w:val="0"/>
          <w:iCs w:val="0"/>
          <w:sz w:val="22"/>
          <w:szCs w:val="22"/>
        </w:rPr>
        <w:t xml:space="preserve">ATTO </w:t>
      </w:r>
      <w:r w:rsidRPr="00241640">
        <w:rPr>
          <w:rFonts w:ascii="Times New Roman" w:eastAsia="Times New Roman" w:hAnsi="Times New Roman"/>
          <w:i w:val="0"/>
          <w:iCs w:val="0"/>
          <w:sz w:val="22"/>
          <w:szCs w:val="22"/>
        </w:rPr>
        <w:t xml:space="preserve"> che</w:t>
      </w:r>
      <w:proofErr w:type="gramEnd"/>
      <w:r w:rsidRPr="00241640">
        <w:rPr>
          <w:rFonts w:ascii="Times New Roman" w:eastAsia="Times New Roman" w:hAnsi="Times New Roman"/>
          <w:i w:val="0"/>
          <w:iCs w:val="0"/>
          <w:sz w:val="22"/>
          <w:szCs w:val="22"/>
        </w:rPr>
        <w:t xml:space="preserve"> a seguito della presente variazione il fondo pluriennale vincolato di spesa al 31.12.2016 da iscrivere nella parte entrata del bilancio di previsione 2017-2019 ammonta ad € 5.382,00, di cui  interamente di parte corrente, ed è pari alle somme impegnate nel 2016 con esigibilità prevista nell’esercizio 2017</w:t>
      </w:r>
    </w:p>
    <w:p w:rsidR="00BE0864" w:rsidRPr="00241640" w:rsidRDefault="00BE086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smallCaps w:val="0"/>
          <w:sz w:val="22"/>
          <w:szCs w:val="22"/>
        </w:rPr>
        <w:t>VERIFICATE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da parte del Responsabile del Servizio Finanziario</w:t>
      </w:r>
      <w:r w:rsidRPr="00241640">
        <w:rPr>
          <w:rFonts w:ascii="Times New Roman" w:hAnsi="Times New Roman" w:cs="Times New Roman"/>
          <w:smallCaps w:val="0"/>
          <w:sz w:val="22"/>
          <w:szCs w:val="22"/>
        </w:rPr>
        <w:t xml:space="preserve">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le richieste di revisione dei residui attivi e passivi che non devono essere </w:t>
      </w:r>
      <w:proofErr w:type="spell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reimputati</w:t>
      </w:r>
      <w:proofErr w:type="spell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per esigibilità, da cui emergono le seguenti risultanze complessive:</w:t>
      </w:r>
    </w:p>
    <w:p w:rsidR="00BE0864" w:rsidRPr="00241640" w:rsidRDefault="00BE0864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835"/>
      </w:tblGrid>
      <w:tr w:rsidR="00BE0864">
        <w:tc>
          <w:tcPr>
            <w:tcW w:w="8613" w:type="dxa"/>
            <w:gridSpan w:val="2"/>
          </w:tcPr>
          <w:p w:rsidR="00BE0864" w:rsidRDefault="00BE086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RESIDUI ATTIVI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Residui attivi provenienti dalle gestioni 2015 e precedenti</w:t>
            </w:r>
          </w:p>
        </w:tc>
        <w:tc>
          <w:tcPr>
            <w:tcW w:w="2835" w:type="dxa"/>
          </w:tcPr>
          <w:p w:rsidR="00BE0864" w:rsidRDefault="005B548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84">
              <w:rPr>
                <w:rFonts w:ascii="Arial" w:hAnsi="Arial" w:cs="Arial"/>
                <w:b/>
                <w:bCs/>
                <w:sz w:val="20"/>
                <w:szCs w:val="20"/>
              </w:rPr>
              <w:t>79.490,79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Residui attivi provenienti dalla competenza 2016</w:t>
            </w:r>
          </w:p>
        </w:tc>
        <w:tc>
          <w:tcPr>
            <w:tcW w:w="2835" w:type="dxa"/>
          </w:tcPr>
          <w:p w:rsidR="00BE0864" w:rsidRDefault="005B548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84">
              <w:rPr>
                <w:rFonts w:ascii="Arial" w:hAnsi="Arial" w:cs="Arial"/>
                <w:b/>
                <w:bCs/>
                <w:sz w:val="20"/>
                <w:szCs w:val="20"/>
              </w:rPr>
              <w:t>145.623,23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835" w:type="dxa"/>
          </w:tcPr>
          <w:p w:rsidR="00BE0864" w:rsidRDefault="005B548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84">
              <w:rPr>
                <w:rFonts w:ascii="Arial" w:hAnsi="Arial" w:cs="Arial"/>
                <w:b/>
                <w:bCs/>
                <w:sz w:val="20"/>
                <w:szCs w:val="20"/>
              </w:rPr>
              <w:t>225.114,02</w:t>
            </w:r>
          </w:p>
        </w:tc>
      </w:tr>
      <w:tr w:rsidR="00FA5C79" w:rsidTr="00241640">
        <w:tc>
          <w:tcPr>
            <w:tcW w:w="5778" w:type="dxa"/>
            <w:tcBorders>
              <w:bottom w:val="single" w:sz="4" w:space="0" w:color="auto"/>
            </w:tcBorders>
          </w:tcPr>
          <w:p w:rsidR="00FA5C79" w:rsidRPr="00FA5C79" w:rsidRDefault="00FA5C79" w:rsidP="00FA5C79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A5C79">
              <w:rPr>
                <w:rFonts w:ascii="Arial" w:hAnsi="Arial" w:cs="Arial"/>
                <w:sz w:val="20"/>
                <w:szCs w:val="20"/>
              </w:rPr>
              <w:t>Residui eliminati anno 2011</w:t>
            </w:r>
            <w:r w:rsidR="00241640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="00241640"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 w:rsidR="00241640">
              <w:rPr>
                <w:rFonts w:ascii="Arial" w:hAnsi="Arial" w:cs="Arial"/>
                <w:sz w:val="20"/>
                <w:szCs w:val="20"/>
              </w:rPr>
              <w:t xml:space="preserve"> esazione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5C79" w:rsidRPr="005B5484" w:rsidRDefault="00FA5C79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4.144,28</w:t>
            </w:r>
          </w:p>
        </w:tc>
      </w:tr>
      <w:tr w:rsidR="00FA5C79" w:rsidTr="002416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9" w:rsidRPr="00FA5C79" w:rsidRDefault="00FA5C79" w:rsidP="00FA5C79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residui mantenuti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9" w:rsidRPr="005B5484" w:rsidRDefault="00FA5C79" w:rsidP="00FA5C79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220.969,74</w:t>
            </w:r>
          </w:p>
        </w:tc>
      </w:tr>
      <w:tr w:rsidR="00BE0864" w:rsidTr="00241640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1640" w:rsidRDefault="00241640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1640" w:rsidRDefault="00241640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864" w:rsidTr="00241640">
        <w:tc>
          <w:tcPr>
            <w:tcW w:w="8613" w:type="dxa"/>
            <w:gridSpan w:val="2"/>
            <w:tcBorders>
              <w:top w:val="single" w:sz="4" w:space="0" w:color="auto"/>
            </w:tcBorders>
          </w:tcPr>
          <w:p w:rsidR="00BE0864" w:rsidRDefault="00BE086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RESIDUI PASSIVI</w:t>
            </w:r>
          </w:p>
        </w:tc>
      </w:tr>
      <w:tr w:rsidR="00BE0864" w:rsidRPr="00CE318B">
        <w:tc>
          <w:tcPr>
            <w:tcW w:w="5778" w:type="dxa"/>
          </w:tcPr>
          <w:p w:rsidR="00BE0864" w:rsidRPr="00CE318B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E318B">
              <w:rPr>
                <w:rFonts w:ascii="Arial" w:hAnsi="Arial" w:cs="Arial"/>
                <w:sz w:val="20"/>
                <w:szCs w:val="20"/>
              </w:rPr>
              <w:t>Residui passivi provenienti dalle gestioni 2015 e precedenti</w:t>
            </w:r>
          </w:p>
        </w:tc>
        <w:tc>
          <w:tcPr>
            <w:tcW w:w="2835" w:type="dxa"/>
          </w:tcPr>
          <w:p w:rsidR="00BE0864" w:rsidRPr="00CE318B" w:rsidRDefault="00EB20CD" w:rsidP="00EB20CD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E0864" w:rsidRPr="00CE31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E318B">
              <w:rPr>
                <w:rFonts w:ascii="Arial" w:hAnsi="Arial" w:cs="Arial"/>
                <w:bCs/>
                <w:sz w:val="20"/>
                <w:szCs w:val="20"/>
              </w:rPr>
              <w:t>277</w:t>
            </w:r>
            <w:r w:rsidR="00BE0864" w:rsidRPr="00CE318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E318B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</w:tr>
      <w:tr w:rsidR="00CE318B" w:rsidRPr="00CE318B">
        <w:tc>
          <w:tcPr>
            <w:tcW w:w="5778" w:type="dxa"/>
          </w:tcPr>
          <w:p w:rsidR="00CE318B" w:rsidRPr="00CE318B" w:rsidRDefault="00CE318B" w:rsidP="00CE318B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E318B">
              <w:rPr>
                <w:rFonts w:ascii="Arial" w:hAnsi="Arial" w:cs="Arial"/>
                <w:sz w:val="20"/>
                <w:szCs w:val="20"/>
              </w:rPr>
              <w:t>Residui passivi eliminati anno 2015</w:t>
            </w:r>
          </w:p>
        </w:tc>
        <w:tc>
          <w:tcPr>
            <w:tcW w:w="2835" w:type="dxa"/>
          </w:tcPr>
          <w:p w:rsidR="00CE318B" w:rsidRPr="00CE318B" w:rsidRDefault="00CE318B" w:rsidP="000E0F35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0E0F35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  <w:r w:rsidRPr="00CE318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E0F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E318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E318B" w:rsidRPr="00EB20CD">
        <w:tc>
          <w:tcPr>
            <w:tcW w:w="5778" w:type="dxa"/>
          </w:tcPr>
          <w:p w:rsidR="00CE318B" w:rsidRPr="00CE318B" w:rsidRDefault="00CE318B" w:rsidP="00B67E0A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318B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sz w:val="20"/>
                <w:szCs w:val="20"/>
              </w:rPr>
              <w:t>RESIDUI PASSIVI GEST.2015 E PREC.</w:t>
            </w:r>
          </w:p>
        </w:tc>
        <w:tc>
          <w:tcPr>
            <w:tcW w:w="2835" w:type="dxa"/>
          </w:tcPr>
          <w:p w:rsidR="00CE318B" w:rsidRPr="00CE318B" w:rsidRDefault="00CE318B" w:rsidP="000E0F35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940</w:t>
            </w:r>
            <w:r w:rsidRPr="00CE318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BE0864" w:rsidRPr="00CE318B">
        <w:tc>
          <w:tcPr>
            <w:tcW w:w="5778" w:type="dxa"/>
          </w:tcPr>
          <w:p w:rsidR="00BE0864" w:rsidRPr="00CE318B" w:rsidRDefault="00BE0864" w:rsidP="00CE318B">
            <w:pPr>
              <w:pStyle w:val="rtf1Bolloco"/>
              <w:spacing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318B">
              <w:rPr>
                <w:rFonts w:ascii="Arial" w:hAnsi="Arial" w:cs="Arial"/>
                <w:sz w:val="20"/>
                <w:szCs w:val="20"/>
              </w:rPr>
              <w:t>Residui passivi provenienti dalla competenza 2016</w:t>
            </w:r>
          </w:p>
        </w:tc>
        <w:tc>
          <w:tcPr>
            <w:tcW w:w="2835" w:type="dxa"/>
          </w:tcPr>
          <w:p w:rsidR="00BE0864" w:rsidRPr="00CE318B" w:rsidRDefault="00CE318B" w:rsidP="00CE318B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Cs/>
                <w:sz w:val="20"/>
                <w:szCs w:val="20"/>
              </w:rPr>
              <w:t>152</w:t>
            </w:r>
            <w:r w:rsidR="00BE0864" w:rsidRPr="00CE31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E318B">
              <w:rPr>
                <w:rFonts w:ascii="Arial" w:hAnsi="Arial" w:cs="Arial"/>
                <w:bCs/>
                <w:sz w:val="20"/>
                <w:szCs w:val="20"/>
              </w:rPr>
              <w:t>123</w:t>
            </w:r>
            <w:r w:rsidR="00BE0864" w:rsidRPr="00CE318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E318B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</w:tr>
      <w:tr w:rsidR="00CE318B" w:rsidRPr="00CE318B">
        <w:tc>
          <w:tcPr>
            <w:tcW w:w="5778" w:type="dxa"/>
          </w:tcPr>
          <w:p w:rsidR="00CE318B" w:rsidRPr="00CE318B" w:rsidRDefault="00CE318B" w:rsidP="00CE318B">
            <w:pPr>
              <w:pStyle w:val="rtf1Bolloco"/>
              <w:spacing w:line="24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sz w:val="20"/>
                <w:szCs w:val="20"/>
              </w:rPr>
              <w:t>Residui passivi eliminati anno 2016 per insussistenza</w:t>
            </w:r>
          </w:p>
        </w:tc>
        <w:tc>
          <w:tcPr>
            <w:tcW w:w="2835" w:type="dxa"/>
          </w:tcPr>
          <w:p w:rsidR="00CE318B" w:rsidRPr="00CE318B" w:rsidRDefault="00CE318B" w:rsidP="00CE318B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/>
                <w:bCs/>
                <w:sz w:val="20"/>
                <w:szCs w:val="20"/>
              </w:rPr>
              <w:t>2.454,37</w:t>
            </w:r>
          </w:p>
        </w:tc>
      </w:tr>
      <w:tr w:rsidR="00CE318B" w:rsidRPr="00CE318B">
        <w:tc>
          <w:tcPr>
            <w:tcW w:w="5778" w:type="dxa"/>
          </w:tcPr>
          <w:p w:rsidR="00CE318B" w:rsidRPr="00CE318B" w:rsidRDefault="00CE318B" w:rsidP="00CE318B">
            <w:pPr>
              <w:pStyle w:val="rtf1Bolloco"/>
              <w:spacing w:line="24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Cs/>
                <w:sz w:val="20"/>
                <w:szCs w:val="20"/>
              </w:rPr>
              <w:t>Residui passivi eliminati 2016 per esigibilità 2017</w:t>
            </w:r>
          </w:p>
        </w:tc>
        <w:tc>
          <w:tcPr>
            <w:tcW w:w="2835" w:type="dxa"/>
          </w:tcPr>
          <w:p w:rsidR="00CE318B" w:rsidRPr="00CE318B" w:rsidRDefault="00CE318B" w:rsidP="00CE318B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/>
                <w:bCs/>
                <w:sz w:val="20"/>
                <w:szCs w:val="20"/>
              </w:rPr>
              <w:t>5.382,00</w:t>
            </w:r>
          </w:p>
        </w:tc>
      </w:tr>
      <w:tr w:rsidR="00BE0864">
        <w:tc>
          <w:tcPr>
            <w:tcW w:w="5778" w:type="dxa"/>
          </w:tcPr>
          <w:p w:rsidR="00BE0864" w:rsidRPr="00CE318B" w:rsidRDefault="00BE0864" w:rsidP="00B67E0A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Cs/>
                <w:sz w:val="20"/>
                <w:szCs w:val="20"/>
              </w:rPr>
              <w:t>TOTALE</w:t>
            </w:r>
            <w:r w:rsidR="00CE318B" w:rsidRPr="00CE318B">
              <w:rPr>
                <w:rFonts w:ascii="Arial" w:hAnsi="Arial" w:cs="Arial"/>
                <w:bCs/>
                <w:sz w:val="20"/>
                <w:szCs w:val="20"/>
              </w:rPr>
              <w:t xml:space="preserve"> RESIDUI PASSIVI COMPETENZA 2016</w:t>
            </w:r>
          </w:p>
        </w:tc>
        <w:tc>
          <w:tcPr>
            <w:tcW w:w="2835" w:type="dxa"/>
          </w:tcPr>
          <w:p w:rsidR="00BE0864" w:rsidRPr="00CE318B" w:rsidRDefault="00CE318B" w:rsidP="00CE318B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E318B">
              <w:rPr>
                <w:rFonts w:ascii="Arial" w:hAnsi="Arial" w:cs="Arial"/>
                <w:bCs/>
                <w:sz w:val="20"/>
                <w:szCs w:val="20"/>
              </w:rPr>
              <w:t>144.287,38</w:t>
            </w:r>
          </w:p>
        </w:tc>
      </w:tr>
      <w:tr w:rsidR="00204957">
        <w:tc>
          <w:tcPr>
            <w:tcW w:w="5778" w:type="dxa"/>
          </w:tcPr>
          <w:p w:rsidR="00204957" w:rsidRDefault="00204957" w:rsidP="00204957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04957" w:rsidRPr="00CE318B" w:rsidRDefault="00204957" w:rsidP="00CE318B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318B">
        <w:tc>
          <w:tcPr>
            <w:tcW w:w="5778" w:type="dxa"/>
          </w:tcPr>
          <w:p w:rsidR="00CE318B" w:rsidRPr="00CE318B" w:rsidRDefault="00CE318B" w:rsidP="00204957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TOTALE RESIDUI PASSIVI</w:t>
            </w:r>
          </w:p>
        </w:tc>
        <w:tc>
          <w:tcPr>
            <w:tcW w:w="2835" w:type="dxa"/>
          </w:tcPr>
          <w:p w:rsidR="00CE318B" w:rsidRPr="00CE318B" w:rsidRDefault="00204957" w:rsidP="00CE318B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160.401,27</w:t>
            </w:r>
          </w:p>
        </w:tc>
      </w:tr>
      <w:tr w:rsidR="00204957">
        <w:tc>
          <w:tcPr>
            <w:tcW w:w="5778" w:type="dxa"/>
          </w:tcPr>
          <w:p w:rsidR="00204957" w:rsidRDefault="00204957" w:rsidP="00204957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TOTALE ELIMINATI</w:t>
            </w:r>
          </w:p>
        </w:tc>
        <w:tc>
          <w:tcPr>
            <w:tcW w:w="2835" w:type="dxa"/>
          </w:tcPr>
          <w:p w:rsidR="00204957" w:rsidRPr="00CE318B" w:rsidRDefault="00204957" w:rsidP="000E0F35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173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</w:tr>
      <w:tr w:rsidR="00204957">
        <w:tc>
          <w:tcPr>
            <w:tcW w:w="5778" w:type="dxa"/>
          </w:tcPr>
          <w:p w:rsidR="00204957" w:rsidRDefault="00204957" w:rsidP="00204957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RESIDUI EFFETTIVI RISULTANTI</w:t>
            </w:r>
          </w:p>
        </w:tc>
        <w:tc>
          <w:tcPr>
            <w:tcW w:w="2835" w:type="dxa"/>
          </w:tcPr>
          <w:p w:rsidR="00204957" w:rsidRPr="00CE318B" w:rsidRDefault="00204957" w:rsidP="000E0F35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227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E0F35">
              <w:rPr>
                <w:rFonts w:ascii="Arial" w:hAnsi="Arial" w:cs="Arial"/>
                <w:bCs/>
                <w:sz w:val="20"/>
                <w:szCs w:val="20"/>
              </w:rPr>
              <w:t>86</w:t>
            </w:r>
          </w:p>
        </w:tc>
      </w:tr>
    </w:tbl>
    <w:p w:rsidR="00BE0864" w:rsidRPr="00241640" w:rsidRDefault="00BE0864">
      <w:pPr>
        <w:pStyle w:val="rtf1Bolloco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smallCaps w:val="0"/>
          <w:sz w:val="22"/>
          <w:szCs w:val="22"/>
        </w:rPr>
        <w:t>CONSIDERATO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quindi </w:t>
      </w: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che :</w:t>
      </w:r>
      <w:proofErr w:type="gramEnd"/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sono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stati eliminati RESIDUI ATTIVI per €. 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4.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1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44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,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28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quali crediti di dubbia e difficile esazione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relativi alla Tassa Rifiuti e relativa Addizionale anno 2011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;</w:t>
      </w: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sono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stati eliminati RESIDUI PASSIVI per €. 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2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.</w:t>
      </w:r>
      <w:r w:rsidR="00920DC5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337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,</w:t>
      </w:r>
      <w:r w:rsidR="00920DC5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0</w:t>
      </w:r>
      <w:r w:rsidR="00EB20CD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4 relativi alle spese correnti anno 2015 e per 2.454,37 anno 2016 per insussistenza (economie) di cui per 1.195,60 in spese al titolo secondo per lavori di manutenzione </w:t>
      </w:r>
      <w:r w:rsid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al centro sportivo non eseguiti;</w:t>
      </w:r>
    </w:p>
    <w:p w:rsidR="00CE318B" w:rsidRPr="00241640" w:rsidRDefault="00CE318B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914905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smallCaps w:val="0"/>
          <w:sz w:val="22"/>
          <w:szCs w:val="22"/>
        </w:rPr>
        <w:t xml:space="preserve">ACCERTATO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che le risultanze complessive sono dettagliate </w:t>
      </w:r>
      <w:r w:rsidRPr="00241640">
        <w:rPr>
          <w:rFonts w:ascii="Times New Roman" w:hAnsi="Times New Roman" w:cs="Times New Roman"/>
          <w:b w:val="0"/>
          <w:smallCaps w:val="0"/>
          <w:sz w:val="22"/>
          <w:szCs w:val="22"/>
        </w:rPr>
        <w:t xml:space="preserve">negli Allegati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alla presente determinazione, che costituiscono parte integrante e sostanziale della stessa</w:t>
      </w:r>
      <w:r w:rsidR="00914905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:</w:t>
      </w:r>
    </w:p>
    <w:p w:rsidR="00914905" w:rsidRPr="00241640" w:rsidRDefault="00914905" w:rsidP="0091490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Elenco eliminazione per insussistenze e per </w:t>
      </w:r>
      <w:proofErr w:type="spellStart"/>
      <w:r w:rsid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difficile</w:t>
      </w:r>
      <w:proofErr w:type="spellEnd"/>
      <w:r w:rsid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esazione A.1</w:t>
      </w:r>
    </w:p>
    <w:p w:rsidR="00914905" w:rsidRPr="00241640" w:rsidRDefault="00914905" w:rsidP="0091490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Elenco residui totali A.2</w:t>
      </w:r>
    </w:p>
    <w:p w:rsidR="00914905" w:rsidRPr="00241640" w:rsidRDefault="00914905" w:rsidP="0091490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Elenco </w:t>
      </w: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residui  a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residuo A.3</w:t>
      </w:r>
    </w:p>
    <w:p w:rsidR="00914905" w:rsidRPr="00241640" w:rsidRDefault="00914905" w:rsidP="00914905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Elenco residui </w:t>
      </w:r>
      <w:r w:rsidR="002F200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a</w:t>
      </w:r>
      <w:r w:rsidR="002F2000"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competenza </w:t>
      </w:r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A.4</w:t>
      </w:r>
    </w:p>
    <w:p w:rsidR="00BE0864" w:rsidRPr="00241640" w:rsidRDefault="00BE0864">
      <w:pPr>
        <w:pStyle w:val="rtf1Bolloco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241640" w:rsidRPr="00241640" w:rsidRDefault="00241640" w:rsidP="00241640">
      <w:pPr>
        <w:tabs>
          <w:tab w:val="left" w:pos="-993"/>
        </w:tabs>
        <w:jc w:val="both"/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Cs w:val="0"/>
          <w:smallCaps w:val="0"/>
          <w:sz w:val="22"/>
          <w:szCs w:val="22"/>
        </w:rPr>
        <w:t>Vista</w:t>
      </w: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 xml:space="preserve"> la propria competenza, come da poteri conferiti mediante Deliberazione di G.C. n. 61 del 10.06.2014.</w:t>
      </w:r>
    </w:p>
    <w:p w:rsidR="00241640" w:rsidRPr="00241640" w:rsidRDefault="00241640" w:rsidP="00241640">
      <w:pPr>
        <w:tabs>
          <w:tab w:val="left" w:pos="-993"/>
        </w:tabs>
        <w:jc w:val="both"/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241640" w:rsidRPr="00241640" w:rsidRDefault="00241640" w:rsidP="00241640">
      <w:pPr>
        <w:tabs>
          <w:tab w:val="left" w:pos="-993"/>
        </w:tabs>
        <w:jc w:val="both"/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Cs w:val="0"/>
          <w:smallCaps w:val="0"/>
          <w:sz w:val="22"/>
          <w:szCs w:val="22"/>
        </w:rPr>
        <w:t>Acquisti</w:t>
      </w: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 xml:space="preserve"> i pareri favorevoli di regolarità tecnica e contabile espressi dal Responsabile del Servizio Finanziario, ai sensi dell’art.147 bis, comma </w:t>
      </w:r>
      <w:proofErr w:type="gram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>1,  del</w:t>
      </w:r>
      <w:proofErr w:type="gram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 xml:space="preserve"> </w:t>
      </w:r>
      <w:proofErr w:type="spell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>Dlgs</w:t>
      </w:r>
      <w:proofErr w:type="spell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 xml:space="preserve">. 267/2000 e </w:t>
      </w:r>
      <w:proofErr w:type="spell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>s.m.i.</w:t>
      </w:r>
      <w:proofErr w:type="spell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>;</w:t>
      </w:r>
    </w:p>
    <w:p w:rsidR="00241640" w:rsidRPr="00241640" w:rsidRDefault="00241640" w:rsidP="00241640">
      <w:pPr>
        <w:tabs>
          <w:tab w:val="left" w:pos="-993"/>
        </w:tabs>
        <w:jc w:val="both"/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241640" w:rsidRPr="00241640" w:rsidRDefault="00241640" w:rsidP="00241640">
      <w:pPr>
        <w:tabs>
          <w:tab w:val="left" w:pos="-993"/>
        </w:tabs>
        <w:jc w:val="both"/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Cs w:val="0"/>
          <w:smallCaps w:val="0"/>
          <w:sz w:val="22"/>
          <w:szCs w:val="22"/>
        </w:rPr>
        <w:t>Dato atto che</w:t>
      </w: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 xml:space="preserve"> il visto di regolarità contabile attestante la copertura finanziaria è riportato in calce al presente atto e si intende qua inserito ad ogni effetto;</w:t>
      </w:r>
    </w:p>
    <w:p w:rsidR="00241640" w:rsidRPr="00241640" w:rsidRDefault="00241640">
      <w:pPr>
        <w:pStyle w:val="rtf1Bolloco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241640" w:rsidRPr="00241640" w:rsidRDefault="00241640">
      <w:pPr>
        <w:pStyle w:val="rtf1Bolloco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BE0864" w:rsidRPr="00241640" w:rsidRDefault="00BE0864">
      <w:pPr>
        <w:pStyle w:val="rtf1Bolloco"/>
        <w:spacing w:line="24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241640">
        <w:rPr>
          <w:rFonts w:ascii="Times New Roman" w:hAnsi="Times New Roman" w:cs="Times New Roman"/>
          <w:b/>
          <w:bCs/>
          <w:sz w:val="22"/>
          <w:szCs w:val="22"/>
        </w:rPr>
        <w:t>VISTI</w:t>
      </w:r>
    </w:p>
    <w:p w:rsidR="00BE0864" w:rsidRPr="00241640" w:rsidRDefault="00BE0864">
      <w:pPr>
        <w:numPr>
          <w:ilvl w:val="0"/>
          <w:numId w:val="2"/>
        </w:numPr>
        <w:tabs>
          <w:tab w:val="left" w:pos="-142"/>
          <w:tab w:val="left" w:pos="567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il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</w:t>
      </w:r>
      <w:proofErr w:type="spell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D.Lgs.</w:t>
      </w:r>
      <w:proofErr w:type="spell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</w:t>
      </w: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del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18 agosto 2000 n. 267;</w:t>
      </w:r>
    </w:p>
    <w:p w:rsidR="00BE0864" w:rsidRPr="00241640" w:rsidRDefault="00BE0864">
      <w:pPr>
        <w:numPr>
          <w:ilvl w:val="0"/>
          <w:numId w:val="2"/>
        </w:numPr>
        <w:tabs>
          <w:tab w:val="left" w:pos="-142"/>
          <w:tab w:val="left" w:pos="567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il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</w:t>
      </w:r>
      <w:proofErr w:type="spellStart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>D.Lgs</w:t>
      </w:r>
      <w:proofErr w:type="spellEnd"/>
      <w:r w:rsidRPr="00241640">
        <w:rPr>
          <w:rFonts w:ascii="Times New Roman" w:hAnsi="Times New Roman" w:cs="Times New Roman"/>
          <w:b w:val="0"/>
          <w:bCs w:val="0"/>
          <w:smallCaps w:val="0"/>
          <w:sz w:val="22"/>
          <w:szCs w:val="22"/>
        </w:rPr>
        <w:t xml:space="preserve"> del 23.06.2011 n. 118;</w:t>
      </w:r>
    </w:p>
    <w:p w:rsidR="00BE0864" w:rsidRPr="00241640" w:rsidRDefault="00BE0864">
      <w:pPr>
        <w:numPr>
          <w:ilvl w:val="0"/>
          <w:numId w:val="2"/>
        </w:numPr>
        <w:tabs>
          <w:tab w:val="left" w:pos="-142"/>
          <w:tab w:val="left" w:pos="567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la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Legge 232/2016 (Legge di bilancio 2017);; </w:t>
      </w:r>
    </w:p>
    <w:p w:rsidR="00BE0864" w:rsidRPr="00241640" w:rsidRDefault="00BE0864">
      <w:pPr>
        <w:numPr>
          <w:ilvl w:val="0"/>
          <w:numId w:val="2"/>
        </w:numPr>
        <w:tabs>
          <w:tab w:val="left" w:pos="-142"/>
          <w:tab w:val="left" w:pos="567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proofErr w:type="gramStart"/>
      <w:r w:rsidRPr="0024164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lo</w:t>
      </w:r>
      <w:proofErr w:type="gramEnd"/>
      <w:r w:rsidRPr="0024164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Statuto Comunale;</w:t>
      </w:r>
    </w:p>
    <w:p w:rsidR="00BE0864" w:rsidRPr="00241640" w:rsidRDefault="00241640">
      <w:pPr>
        <w:numPr>
          <w:ilvl w:val="0"/>
          <w:numId w:val="2"/>
        </w:numPr>
        <w:tabs>
          <w:tab w:val="left" w:pos="-142"/>
          <w:tab w:val="left" w:pos="567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proofErr w:type="gram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>il</w:t>
      </w:r>
      <w:proofErr w:type="gram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  <w:t xml:space="preserve"> vigente Regolamento comunale di contabilità</w:t>
      </w:r>
      <w:r w:rsidR="00BE0864" w:rsidRPr="00241640">
        <w:rPr>
          <w:rFonts w:ascii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;</w:t>
      </w:r>
    </w:p>
    <w:p w:rsidR="00BE0864" w:rsidRPr="00241640" w:rsidRDefault="00BE0864">
      <w:pPr>
        <w:pStyle w:val="rtf1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:rsidR="00241640" w:rsidRDefault="00241640" w:rsidP="00241640">
      <w:pPr>
        <w:pStyle w:val="rtf1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/>
          <w:i w:val="0"/>
          <w:iCs w:val="0"/>
          <w:sz w:val="24"/>
          <w:szCs w:val="22"/>
        </w:rPr>
      </w:pPr>
    </w:p>
    <w:p w:rsidR="00BE0864" w:rsidRPr="00241640" w:rsidRDefault="00BE0864" w:rsidP="00241640">
      <w:pPr>
        <w:pStyle w:val="rtf1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Times New Roman" w:hAnsi="Times New Roman"/>
          <w:i w:val="0"/>
          <w:iCs w:val="0"/>
          <w:sz w:val="24"/>
          <w:szCs w:val="22"/>
        </w:rPr>
      </w:pPr>
      <w:r w:rsidRPr="00241640">
        <w:rPr>
          <w:rFonts w:ascii="Times New Roman" w:hAnsi="Times New Roman"/>
          <w:i w:val="0"/>
          <w:iCs w:val="0"/>
          <w:sz w:val="24"/>
          <w:szCs w:val="22"/>
        </w:rPr>
        <w:t>DETERMINA</w:t>
      </w:r>
    </w:p>
    <w:p w:rsidR="00BE0864" w:rsidRPr="00241640" w:rsidRDefault="00BE08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b w:val="0"/>
          <w:bCs w:val="0"/>
          <w:smallCaps w:val="0"/>
          <w:sz w:val="22"/>
          <w:szCs w:val="22"/>
          <w:highlight w:val="red"/>
        </w:rPr>
      </w:pPr>
    </w:p>
    <w:p w:rsidR="00BE0864" w:rsidRPr="00241640" w:rsidRDefault="00BE0864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  <w:r w:rsidRPr="00241640">
        <w:rPr>
          <w:rFonts w:ascii="Times New Roman" w:hAnsi="Times New Roman"/>
          <w:b/>
          <w:bCs/>
          <w:sz w:val="22"/>
          <w:szCs w:val="22"/>
        </w:rPr>
        <w:t>DI APPROVARE</w:t>
      </w:r>
      <w:r w:rsidRPr="00241640">
        <w:rPr>
          <w:rFonts w:ascii="Times New Roman" w:hAnsi="Times New Roman"/>
          <w:bCs/>
          <w:sz w:val="22"/>
          <w:szCs w:val="22"/>
        </w:rPr>
        <w:t>,</w:t>
      </w:r>
      <w:r w:rsidRPr="00241640">
        <w:rPr>
          <w:rFonts w:ascii="Times New Roman" w:hAnsi="Times New Roman"/>
          <w:sz w:val="22"/>
          <w:szCs w:val="22"/>
        </w:rPr>
        <w:t xml:space="preserve"> per le motivazioni in premessa specificate,</w:t>
      </w:r>
      <w:r w:rsidRPr="00241640">
        <w:rPr>
          <w:rFonts w:ascii="Times New Roman" w:hAnsi="Times New Roman"/>
          <w:bCs/>
          <w:sz w:val="22"/>
          <w:szCs w:val="22"/>
        </w:rPr>
        <w:t xml:space="preserve"> gli Allegati A.1-A.2-A.3-A.4</w:t>
      </w:r>
      <w:r w:rsidRPr="00241640">
        <w:rPr>
          <w:rFonts w:ascii="Times New Roman" w:hAnsi="Times New Roman"/>
          <w:sz w:val="22"/>
          <w:szCs w:val="22"/>
        </w:rPr>
        <w:t xml:space="preserve"> alla presente determinazione, relativi al </w:t>
      </w:r>
      <w:proofErr w:type="spellStart"/>
      <w:r w:rsidRPr="00241640">
        <w:rPr>
          <w:rFonts w:ascii="Times New Roman" w:hAnsi="Times New Roman"/>
          <w:sz w:val="22"/>
          <w:szCs w:val="22"/>
        </w:rPr>
        <w:t>riaccertamento</w:t>
      </w:r>
      <w:proofErr w:type="spellEnd"/>
      <w:r w:rsidRPr="00241640">
        <w:rPr>
          <w:rFonts w:ascii="Times New Roman" w:hAnsi="Times New Roman"/>
          <w:sz w:val="22"/>
          <w:szCs w:val="22"/>
        </w:rPr>
        <w:t xml:space="preserve"> dei residui attivi e passivi mantenuti e/o cancellati provenienti dall’esercizio 2016 e precedent</w:t>
      </w:r>
      <w:r w:rsidR="00241640">
        <w:rPr>
          <w:rFonts w:ascii="Times New Roman" w:hAnsi="Times New Roman"/>
          <w:sz w:val="22"/>
          <w:szCs w:val="22"/>
        </w:rPr>
        <w:t>i;</w:t>
      </w:r>
    </w:p>
    <w:p w:rsidR="00241640" w:rsidRDefault="00241640">
      <w:pPr>
        <w:pStyle w:val="rtf1BodyText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41640" w:rsidRDefault="00241640">
      <w:pPr>
        <w:pStyle w:val="rtf1BodyText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E0864" w:rsidRDefault="00BE0864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  <w:r w:rsidRPr="00241640">
        <w:rPr>
          <w:rFonts w:ascii="Times New Roman" w:hAnsi="Times New Roman"/>
          <w:b/>
          <w:bCs/>
          <w:sz w:val="22"/>
          <w:szCs w:val="22"/>
        </w:rPr>
        <w:t>DI DARE ATTO</w:t>
      </w:r>
      <w:r w:rsidRPr="00241640">
        <w:rPr>
          <w:rFonts w:ascii="Times New Roman" w:hAnsi="Times New Roman"/>
          <w:sz w:val="22"/>
          <w:szCs w:val="22"/>
        </w:rPr>
        <w:t xml:space="preserve"> che gli Allegati comprendono le risultanze di </w:t>
      </w:r>
      <w:r w:rsidR="00F90397" w:rsidRPr="00241640">
        <w:rPr>
          <w:rFonts w:ascii="Times New Roman" w:hAnsi="Times New Roman"/>
          <w:sz w:val="22"/>
          <w:szCs w:val="22"/>
        </w:rPr>
        <w:t>tutti i movimenti relativi alla gestione 2016</w:t>
      </w:r>
      <w:r w:rsidR="00241640" w:rsidRPr="00241640">
        <w:rPr>
          <w:rFonts w:ascii="Times New Roman" w:hAnsi="Times New Roman"/>
          <w:sz w:val="22"/>
          <w:szCs w:val="22"/>
        </w:rPr>
        <w:t>;</w:t>
      </w:r>
    </w:p>
    <w:p w:rsidR="00241640" w:rsidRDefault="00241640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41640" w:rsidRDefault="00241640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41640" w:rsidRDefault="00241640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41640" w:rsidRPr="00241640" w:rsidRDefault="00241640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E0864" w:rsidRPr="00241640" w:rsidRDefault="00BE0864">
      <w:pPr>
        <w:pStyle w:val="rtf1BodyText"/>
        <w:ind w:firstLine="708"/>
        <w:jc w:val="both"/>
        <w:rPr>
          <w:rFonts w:ascii="Times New Roman" w:hAnsi="Times New Roman"/>
          <w:sz w:val="22"/>
          <w:szCs w:val="22"/>
        </w:rPr>
      </w:pPr>
      <w:r w:rsidRPr="00241640">
        <w:rPr>
          <w:rFonts w:ascii="Times New Roman" w:hAnsi="Times New Roman"/>
          <w:b/>
          <w:bCs/>
          <w:sz w:val="22"/>
          <w:szCs w:val="22"/>
        </w:rPr>
        <w:t>DI DARE ATTO</w:t>
      </w:r>
      <w:r w:rsidRPr="00241640">
        <w:rPr>
          <w:rFonts w:ascii="Times New Roman" w:hAnsi="Times New Roman"/>
          <w:sz w:val="22"/>
          <w:szCs w:val="22"/>
        </w:rPr>
        <w:t xml:space="preserve"> che l’ammontare complessivo a seguito del </w:t>
      </w:r>
      <w:proofErr w:type="spellStart"/>
      <w:r w:rsidRPr="00241640">
        <w:rPr>
          <w:rFonts w:ascii="Times New Roman" w:hAnsi="Times New Roman"/>
          <w:sz w:val="22"/>
          <w:szCs w:val="22"/>
        </w:rPr>
        <w:t>riaccertamento</w:t>
      </w:r>
      <w:proofErr w:type="spellEnd"/>
      <w:r w:rsidRPr="00241640">
        <w:rPr>
          <w:rFonts w:ascii="Times New Roman" w:hAnsi="Times New Roman"/>
          <w:sz w:val="22"/>
          <w:szCs w:val="22"/>
        </w:rPr>
        <w:t xml:space="preserve"> dei residui attivi e passivi</w:t>
      </w:r>
      <w:r w:rsidR="00914905" w:rsidRPr="00241640">
        <w:rPr>
          <w:rFonts w:ascii="Times New Roman" w:hAnsi="Times New Roman"/>
          <w:sz w:val="22"/>
          <w:szCs w:val="22"/>
        </w:rPr>
        <w:t>, sia a seguito eliminazione che a seguito di variazione di esigibilità</w:t>
      </w:r>
      <w:r w:rsidRPr="00241640">
        <w:rPr>
          <w:rFonts w:ascii="Times New Roman" w:hAnsi="Times New Roman"/>
          <w:sz w:val="22"/>
          <w:szCs w:val="22"/>
        </w:rPr>
        <w:t xml:space="preserve"> è il seguente: </w:t>
      </w:r>
    </w:p>
    <w:p w:rsidR="00BE0864" w:rsidRPr="00241640" w:rsidRDefault="00BE0864">
      <w:pPr>
        <w:pStyle w:val="rtf1BodyText"/>
        <w:jc w:val="both"/>
        <w:rPr>
          <w:rFonts w:ascii="Times New Roman" w:hAnsi="Times New Roman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835"/>
      </w:tblGrid>
      <w:tr w:rsidR="00BE0864">
        <w:tc>
          <w:tcPr>
            <w:tcW w:w="8613" w:type="dxa"/>
            <w:gridSpan w:val="2"/>
          </w:tcPr>
          <w:p w:rsidR="00BE0864" w:rsidRDefault="00BE086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RESIDUI ATTIVI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Residui attivi provenienti dalle gestioni 2015 e precedenti</w:t>
            </w:r>
          </w:p>
        </w:tc>
        <w:tc>
          <w:tcPr>
            <w:tcW w:w="2835" w:type="dxa"/>
          </w:tcPr>
          <w:p w:rsidR="00BE0864" w:rsidRDefault="00C8670C" w:rsidP="00C8670C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Residui attivi provenienti dalla competenza 2016</w:t>
            </w:r>
          </w:p>
        </w:tc>
        <w:tc>
          <w:tcPr>
            <w:tcW w:w="2835" w:type="dxa"/>
          </w:tcPr>
          <w:p w:rsidR="00BE0864" w:rsidRDefault="00C8670C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145.623,23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835" w:type="dxa"/>
          </w:tcPr>
          <w:p w:rsidR="00BE0864" w:rsidRDefault="00BE0864" w:rsidP="00C8670C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70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8670C">
              <w:rPr>
                <w:rFonts w:ascii="Arial" w:hAnsi="Arial" w:cs="Arial"/>
                <w:b/>
                <w:bCs/>
                <w:sz w:val="20"/>
                <w:szCs w:val="20"/>
              </w:rPr>
              <w:t>969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8670C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BE0864">
        <w:tc>
          <w:tcPr>
            <w:tcW w:w="5778" w:type="dxa"/>
            <w:tcBorders>
              <w:left w:val="nil"/>
              <w:right w:val="nil"/>
            </w:tcBorders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864">
        <w:tc>
          <w:tcPr>
            <w:tcW w:w="8613" w:type="dxa"/>
            <w:gridSpan w:val="2"/>
          </w:tcPr>
          <w:p w:rsidR="00BE0864" w:rsidRDefault="00BE0864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RESIDUI PASSIVI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Residui passivi provenienti dalle gestioni 2015 e precedenti</w:t>
            </w:r>
          </w:p>
        </w:tc>
        <w:tc>
          <w:tcPr>
            <w:tcW w:w="2835" w:type="dxa"/>
          </w:tcPr>
          <w:p w:rsidR="00BE0864" w:rsidRDefault="00F90397" w:rsidP="00920DC5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20DC5">
              <w:rPr>
                <w:rFonts w:ascii="Arial" w:hAnsi="Arial" w:cs="Arial"/>
                <w:b/>
                <w:bCs/>
                <w:sz w:val="20"/>
                <w:szCs w:val="20"/>
              </w:rPr>
              <w:t>940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0DC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Residui passivi provenienti dalla competenza 2016</w:t>
            </w:r>
          </w:p>
        </w:tc>
        <w:tc>
          <w:tcPr>
            <w:tcW w:w="2835" w:type="dxa"/>
          </w:tcPr>
          <w:p w:rsidR="00BE0864" w:rsidRDefault="00F90397" w:rsidP="00F90397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BE0864">
        <w:tc>
          <w:tcPr>
            <w:tcW w:w="5778" w:type="dxa"/>
          </w:tcPr>
          <w:p w:rsidR="00BE0864" w:rsidRDefault="00BE0864">
            <w:pPr>
              <w:pStyle w:val="rtf1Bolloco"/>
              <w:spacing w:line="24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835" w:type="dxa"/>
          </w:tcPr>
          <w:p w:rsidR="00BE0864" w:rsidRDefault="00F90397" w:rsidP="00920DC5">
            <w:pPr>
              <w:pStyle w:val="rtf1Bolloco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20DC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20DC5"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  <w:r w:rsidR="00BE086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20DC5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bookmarkStart w:id="0" w:name="_GoBack"/>
            <w:bookmarkEnd w:id="0"/>
          </w:p>
        </w:tc>
      </w:tr>
    </w:tbl>
    <w:p w:rsidR="00BE0864" w:rsidRDefault="00BE0864">
      <w:pPr>
        <w:pStyle w:val="rtf1BodyText"/>
        <w:jc w:val="both"/>
        <w:rPr>
          <w:rFonts w:ascii="Arial" w:hAnsi="Arial" w:cs="Arial"/>
          <w:sz w:val="20"/>
          <w:szCs w:val="20"/>
          <w:highlight w:val="red"/>
        </w:rPr>
      </w:pPr>
    </w:p>
    <w:p w:rsidR="00ED0B50" w:rsidRPr="00241640" w:rsidRDefault="00241640" w:rsidP="00ED0B50">
      <w:pPr>
        <w:pStyle w:val="Corpotes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41640">
        <w:rPr>
          <w:rFonts w:ascii="Times New Roman" w:hAnsi="Times New Roman" w:cs="Times New Roman"/>
          <w:sz w:val="22"/>
          <w:szCs w:val="22"/>
        </w:rPr>
        <w:t xml:space="preserve">DI DARE ATTO </w:t>
      </w:r>
      <w:r w:rsidRPr="00241640">
        <w:rPr>
          <w:rFonts w:ascii="Times New Roman" w:hAnsi="Times New Roman" w:cs="Times New Roman"/>
          <w:b w:val="0"/>
          <w:sz w:val="22"/>
          <w:szCs w:val="22"/>
        </w:rPr>
        <w:t>che tale elenco confluirà nel rendiconto 2016, di cui costituirà allegato.</w:t>
      </w:r>
    </w:p>
    <w:p w:rsidR="00241640" w:rsidRPr="00241640" w:rsidRDefault="00241640" w:rsidP="00ED0B50">
      <w:pPr>
        <w:pStyle w:val="Corpotesto"/>
        <w:rPr>
          <w:rFonts w:ascii="Times New Roman" w:hAnsi="Times New Roman" w:cs="Times New Roman"/>
          <w:b w:val="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ind w:left="5040"/>
        <w:jc w:val="center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ind w:left="5040"/>
        <w:jc w:val="center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         Il Responsabile dell’Ufficio Finanziario</w:t>
      </w: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                                                                                           Daniele Mandrini</w:t>
      </w:r>
    </w:p>
    <w:p w:rsidR="00241640" w:rsidRPr="00241640" w:rsidRDefault="00241640" w:rsidP="00241640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overflowPunct/>
        <w:autoSpaceDE/>
        <w:autoSpaceDN/>
        <w:adjustRightInd/>
        <w:spacing w:line="240" w:lineRule="atLeast"/>
        <w:ind w:left="360" w:right="360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snapToGrid w:val="0"/>
          <w:color w:val="00000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smallCaps w:val="0"/>
          <w:color w:val="00000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smallCaps w:val="0"/>
          <w:color w:val="00000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smallCaps w:val="0"/>
          <w:color w:val="000000"/>
          <w:sz w:val="22"/>
          <w:szCs w:val="22"/>
        </w:rPr>
        <w:t>*************</w:t>
      </w: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smallCaps w:val="0"/>
          <w:color w:val="00000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smallCaps w:val="0"/>
          <w:color w:val="000000"/>
          <w:sz w:val="24"/>
          <w:szCs w:val="24"/>
        </w:rPr>
      </w:pPr>
      <w:r w:rsidRPr="00241640">
        <w:rPr>
          <w:rFonts w:ascii="Times New Roman" w:eastAsia="Times New Roman" w:hAnsi="Times New Roman" w:cs="Times New Roman"/>
          <w:smallCaps w:val="0"/>
          <w:color w:val="000000"/>
          <w:sz w:val="24"/>
          <w:szCs w:val="24"/>
        </w:rPr>
        <w:t>SERVIZIO FINANZIARIO</w:t>
      </w:r>
    </w:p>
    <w:p w:rsidR="00241640" w:rsidRPr="00241640" w:rsidRDefault="00241640" w:rsidP="00241640">
      <w:p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241640">
          <w:rPr>
            <w:rFonts w:ascii="Times New Roman" w:eastAsia="Times New Roman" w:hAnsi="Times New Roman" w:cs="Times New Roman"/>
            <w:b w:val="0"/>
            <w:bCs w:val="0"/>
            <w:smallCaps w:val="0"/>
            <w:color w:val="000000"/>
            <w:sz w:val="22"/>
            <w:szCs w:val="22"/>
          </w:rPr>
          <w:t>la Deliberazione</w:t>
        </w:r>
      </w:smartTag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di G.C. n. 61 del 10.06.2014, con la quale è stata attribuita la competenza si appone:</w:t>
      </w:r>
    </w:p>
    <w:p w:rsidR="00241640" w:rsidRPr="00241640" w:rsidRDefault="00241640" w:rsidP="0024164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proofErr w:type="gram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parere</w:t>
      </w:r>
      <w:proofErr w:type="gram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favorevole in ordine alla regolarità tecnica e contabile, ai sensi dell’art. 147 bis del TUEL n. 267/2000 e </w:t>
      </w:r>
      <w:proofErr w:type="spell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s.m.i.</w:t>
      </w:r>
      <w:proofErr w:type="spell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;</w:t>
      </w:r>
    </w:p>
    <w:p w:rsidR="00241640" w:rsidRPr="00241640" w:rsidRDefault="00241640" w:rsidP="0024164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</w:t>
      </w:r>
      <w:proofErr w:type="gram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visto</w:t>
      </w:r>
      <w:proofErr w:type="gram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 di regolarità contabile attestante la copertura finanziaria della spesa cui si riferisce, ai sensi dell’art. 183 comma 7  del D. </w:t>
      </w:r>
      <w:proofErr w:type="spell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Lgs</w:t>
      </w:r>
      <w:proofErr w:type="spellEnd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 xml:space="preserve">. 18 agosto 2000, n. 267 e </w:t>
      </w:r>
      <w:proofErr w:type="spellStart"/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  <w:t>s.m.i.</w:t>
      </w:r>
      <w:proofErr w:type="spellEnd"/>
    </w:p>
    <w:p w:rsidR="00241640" w:rsidRPr="00241640" w:rsidRDefault="00241640" w:rsidP="00241640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4"/>
          <w:szCs w:val="22"/>
        </w:rPr>
      </w:pPr>
      <w:r w:rsidRPr="00241640"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4"/>
          <w:szCs w:val="22"/>
        </w:rPr>
        <w:t>IL RESPONSABILE DEL SERVIZIO FINANZIARIO</w:t>
      </w: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color w:val="000000"/>
          <w:sz w:val="24"/>
          <w:szCs w:val="22"/>
        </w:rPr>
      </w:pPr>
      <w:r w:rsidRPr="00241640">
        <w:rPr>
          <w:rFonts w:ascii="Times New Roman" w:eastAsia="Times New Roman" w:hAnsi="Times New Roman" w:cs="Times New Roman"/>
          <w:bCs w:val="0"/>
          <w:smallCaps w:val="0"/>
          <w:color w:val="000000"/>
          <w:sz w:val="24"/>
          <w:szCs w:val="22"/>
        </w:rPr>
        <w:t>Daniele Mandrini</w:t>
      </w:r>
    </w:p>
    <w:p w:rsidR="00241640" w:rsidRPr="00241640" w:rsidRDefault="00241640" w:rsidP="00241640">
      <w:pPr>
        <w:overflowPunct/>
        <w:autoSpaceDE/>
        <w:autoSpaceDN/>
        <w:adjustRightInd/>
        <w:textAlignment w:val="auto"/>
        <w:rPr>
          <w:rFonts w:ascii="Times New Roman" w:eastAsia="Times New Roman" w:hAnsi="Times New Roman" w:cs="Times New Roman"/>
          <w:b w:val="0"/>
          <w:bCs w:val="0"/>
          <w:smallCaps w:val="0"/>
          <w:sz w:val="22"/>
          <w:szCs w:val="22"/>
        </w:rPr>
      </w:pPr>
    </w:p>
    <w:p w:rsidR="00241640" w:rsidRPr="00241640" w:rsidRDefault="00241640" w:rsidP="00241640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Cs w:val="0"/>
          <w:smallCaps w:val="0"/>
          <w:sz w:val="22"/>
          <w:szCs w:val="22"/>
        </w:rPr>
      </w:pPr>
    </w:p>
    <w:p w:rsidR="00ED0B50" w:rsidRPr="00FC4C60" w:rsidRDefault="00ED0B50" w:rsidP="00ED0B50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line="240" w:lineRule="atLeast"/>
        <w:ind w:left="360" w:right="360"/>
        <w:rPr>
          <w:rFonts w:ascii="Times New Roman" w:hAnsi="Times New Roman"/>
          <w:snapToGrid w:val="0"/>
          <w:sz w:val="22"/>
          <w:szCs w:val="22"/>
        </w:rPr>
      </w:pPr>
    </w:p>
    <w:sectPr w:rsidR="00ED0B50" w:rsidRPr="00FC4C60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New Century Schoolbook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estige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AA75D47"/>
    <w:multiLevelType w:val="hybridMultilevel"/>
    <w:tmpl w:val="428EC34E"/>
    <w:lvl w:ilvl="0" w:tplc="A510F5E6">
      <w:start w:val="3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E868B9"/>
    <w:multiLevelType w:val="hybridMultilevel"/>
    <w:tmpl w:val="68DC366A"/>
    <w:lvl w:ilvl="0" w:tplc="82DE12BE">
      <w:start w:val="14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151"/>
    <w:multiLevelType w:val="hybridMultilevel"/>
    <w:tmpl w:val="39A6058C"/>
    <w:lvl w:ilvl="0" w:tplc="2AE88C48">
      <w:start w:val="7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2D9A"/>
    <w:multiLevelType w:val="hybridMultilevel"/>
    <w:tmpl w:val="51BE690A"/>
    <w:lvl w:ilvl="0" w:tplc="450C6B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C0"/>
    <w:rsid w:val="000E0F35"/>
    <w:rsid w:val="00204957"/>
    <w:rsid w:val="00241640"/>
    <w:rsid w:val="002F2000"/>
    <w:rsid w:val="003D70A0"/>
    <w:rsid w:val="005B5484"/>
    <w:rsid w:val="005B72DA"/>
    <w:rsid w:val="005F4661"/>
    <w:rsid w:val="006930C1"/>
    <w:rsid w:val="00914905"/>
    <w:rsid w:val="00920DC5"/>
    <w:rsid w:val="009353C0"/>
    <w:rsid w:val="00AB33C6"/>
    <w:rsid w:val="00B40400"/>
    <w:rsid w:val="00B67E0A"/>
    <w:rsid w:val="00BE0864"/>
    <w:rsid w:val="00BF38DE"/>
    <w:rsid w:val="00C71E30"/>
    <w:rsid w:val="00C8670C"/>
    <w:rsid w:val="00CE318B"/>
    <w:rsid w:val="00EB20CD"/>
    <w:rsid w:val="00ED0B50"/>
    <w:rsid w:val="00F90397"/>
    <w:rsid w:val="00FA5C79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AE785-4425-4D68-BA52-41C5BD7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sto MT" w:hAnsi="Calisto MT" w:cs="Calisto MT"/>
      <w:b/>
      <w:bCs/>
      <w:smallCap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993"/>
      </w:tabs>
      <w:jc w:val="center"/>
      <w:outlineLvl w:val="0"/>
    </w:pPr>
    <w:rPr>
      <w:sz w:val="24"/>
      <w:szCs w:val="24"/>
      <w:lang w:val="fr-FR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-993"/>
      </w:tabs>
      <w:jc w:val="both"/>
      <w:outlineLvl w:val="1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70A0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 Light" w:hAnsi="Calibri Light" w:cs="Calibri Light"/>
      <w:i/>
      <w:iCs/>
      <w:smallCaps/>
      <w:snapToGrid w:val="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libri Light" w:hAnsi="Calibri Light" w:cs="Calibri Light"/>
      <w:i/>
      <w:iCs/>
      <w:smallCaps/>
      <w:snapToGrid w:val="0"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D70A0"/>
    <w:rPr>
      <w:rFonts w:cs="Times New Roman"/>
      <w:b/>
      <w:bCs/>
      <w:i/>
      <w:iCs/>
      <w:smallCap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-993"/>
      </w:tabs>
      <w:jc w:val="both"/>
    </w:pPr>
    <w:rPr>
      <w:rFonts w:ascii="Arial" w:hAnsi="Arial" w:cs="Arial"/>
      <w:smallCaps w:val="0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Calisto MT" w:hAnsi="Calisto MT" w:cs="Calisto MT"/>
      <w:b/>
      <w:bCs/>
      <w:smallCaps/>
      <w:snapToGrid w:val="0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snapToGrid w:val="0"/>
      <w:color w:val="auto"/>
      <w:u w:val="single"/>
    </w:rPr>
  </w:style>
  <w:style w:type="paragraph" w:customStyle="1" w:styleId="rtf1Normal">
    <w:name w:val="rtf1 Normal"/>
    <w:uiPriority w:val="99"/>
    <w:pPr>
      <w:spacing w:after="0" w:line="240" w:lineRule="auto"/>
    </w:pPr>
    <w:rPr>
      <w:rFonts w:ascii="Calisto MT" w:hAnsi="Calisto MT"/>
      <w:sz w:val="24"/>
      <w:szCs w:val="24"/>
    </w:rPr>
  </w:style>
  <w:style w:type="paragraph" w:customStyle="1" w:styleId="rtf1heading2">
    <w:name w:val="rtf1 heading 2"/>
    <w:basedOn w:val="rtf1Normal"/>
    <w:next w:val="rtf1Normal"/>
    <w:uiPriority w:val="9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843" w:right="2550"/>
      <w:jc w:val="center"/>
      <w:outlineLvl w:val="1"/>
    </w:pPr>
    <w:rPr>
      <w:b/>
      <w:bCs/>
      <w:i/>
      <w:iCs/>
      <w:sz w:val="28"/>
      <w:szCs w:val="28"/>
    </w:rPr>
  </w:style>
  <w:style w:type="character" w:customStyle="1" w:styleId="rtf1DefaultParagraphFont">
    <w:name w:val="rtf1 Default Paragraph Font"/>
    <w:uiPriority w:val="99"/>
  </w:style>
  <w:style w:type="paragraph" w:customStyle="1" w:styleId="rtf1BodyText">
    <w:name w:val="rtf1 Body Text"/>
    <w:basedOn w:val="rtf1Normal"/>
    <w:uiPriority w:val="99"/>
  </w:style>
  <w:style w:type="paragraph" w:customStyle="1" w:styleId="rtf1BodyTextIndent">
    <w:name w:val="rtf1 Body Text Indent"/>
    <w:basedOn w:val="rtf1Normal"/>
    <w:uiPriority w:val="99"/>
    <w:pPr>
      <w:snapToGrid w:val="0"/>
      <w:ind w:firstLine="851"/>
    </w:pPr>
    <w:rPr>
      <w:i/>
      <w:iCs/>
    </w:rPr>
  </w:style>
  <w:style w:type="paragraph" w:customStyle="1" w:styleId="rtf1Bolloco">
    <w:name w:val="rtf1 Bolloco"/>
    <w:basedOn w:val="rtf1Normal"/>
    <w:uiPriority w:val="99"/>
    <w:pPr>
      <w:suppressAutoHyphens/>
      <w:spacing w:line="480" w:lineRule="atLeast"/>
      <w:jc w:val="both"/>
    </w:pPr>
    <w:rPr>
      <w:rFonts w:ascii="Prestige 10cpi" w:hAnsi="Prestige 10cpi" w:cs="Prestige 10cpi"/>
      <w:lang w:eastAsia="ar-SA"/>
    </w:rPr>
  </w:style>
  <w:style w:type="paragraph" w:styleId="Paragrafoelenco">
    <w:name w:val="List Paragraph"/>
    <w:basedOn w:val="Normale"/>
    <w:uiPriority w:val="34"/>
    <w:qFormat/>
    <w:rsid w:val="0091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955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SANTA CRISTINA E BISSONE</vt:lpstr>
    </vt:vector>
  </TitlesOfParts>
  <Company>Comune di Santa Cristina e Bissone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SANTA CRISTINA E BISSONE</dc:title>
  <dc:subject/>
  <dc:creator>comune di santa cristina</dc:creator>
  <cp:keywords/>
  <dc:description/>
  <cp:lastModifiedBy>Maria Ester Tinelli</cp:lastModifiedBy>
  <cp:revision>16</cp:revision>
  <cp:lastPrinted>2015-02-14T09:57:00Z</cp:lastPrinted>
  <dcterms:created xsi:type="dcterms:W3CDTF">2017-03-28T11:23:00Z</dcterms:created>
  <dcterms:modified xsi:type="dcterms:W3CDTF">2017-04-04T14:53:00Z</dcterms:modified>
</cp:coreProperties>
</file>